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763830.xml.htm"/>
      <w:bookmarkStart w:id="1" w:name="kswkform4_17827638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Liang Clara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NAVAN,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3045 PARK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Navan, Inc.</w:t>
              </w:r>
            </w:hyperlink>
            <w:r>
              <w:rPr/>
              <w:t xml:space="preserve"> [ </w:t>
            </w:r>
            <w:r>
              <w:rPr>
                <w:rFonts w:ascii="Times;serif" w:hAnsi="Times;serif"/>
                <w:color w:val="0000FF"/>
                <w:sz w:val="24"/>
                <w:shd w:fill="FFFFFF" w:val="clear"/>
              </w:rPr>
              <w:t>NAVN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9,959</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9,959</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each of which represents a contingent right to receive one share of Issuer's Class A Common Stock. The RSUs are subject to a time-based service condition. The time-based service condition will be satisfied in full on the earlier of (i) the first anniversary of the date of the grant or (ii) the date of Issuer's next annual meeting of stockholders following the date of the grant, subject to Reporting Person's continued service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Howard Baik,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3185" TargetMode="External"/><Relationship Id="rId5" Type="http://schemas.openxmlformats.org/officeDocument/2006/relationships/hyperlink" Target="http://www.sec.gov/cgi-bin/browse-edgar?action=getcompany&amp;CIK=00016397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643</Words>
  <Characters>3460</Characters>
  <CharactersWithSpaces>4043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