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Butte Amy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2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6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NAVAN,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3045 PARK BOULEVARD</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94306</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0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954,112</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each of which represents a contingent right to receive one share of Issuer's Class A Common Stock. The RSUs are subject to a time-based service condition and a performance-based condition, both of which must be satisfied to vest. The time-based service condition will be satisfied with respect to 25% of the total number of such RSUs on the first anniversary of the vesting commencement date, and an additional 1/16th of the total number of such RSUs every quarter thereafter, subject to Reporting Person's continued service through each applicable vesting date. The performance-based condition was satisfied upon a liquidity event which occurred upon the effectiveness of Issuer's registration statement on Form S-1 in connection with Issuer's initial public offering of Class A Common Stock.</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Howard Baik,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51" w:lineRule="exact"/>
        <w:rPr>
          <w:sz w:val="20"/>
          <w:szCs w:val="20"/>
          <w:color w:val="auto"/>
        </w:rPr>
      </w:pPr>
    </w:p>
    <w:p>
      <w:pPr>
        <w:ind w:firstLine="720"/>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Howard Baik, Dayne Brown, and Loanna Hung, signing individually, the undersigned’s true and lawful attorneys-in fact and agents to:</w:t>
      </w:r>
    </w:p>
    <w:p>
      <w:pPr>
        <w:spacing w:after="0" w:line="175" w:lineRule="exact"/>
        <w:rPr>
          <w:sz w:val="20"/>
          <w:szCs w:val="20"/>
          <w:color w:val="auto"/>
        </w:rPr>
      </w:pPr>
    </w:p>
    <w:p>
      <w:pPr>
        <w:jc w:val="both"/>
        <w:ind w:left="720"/>
        <w:spacing w:after="0" w:line="252" w:lineRule="auto"/>
        <w:tabs>
          <w:tab w:leader="none" w:pos="10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director and/or greater than 10% stockholder of Navan,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Forms 3, 4 and 5 (including any amendments thereto)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w:t>
      </w:r>
    </w:p>
    <w:p>
      <w:pPr>
        <w:spacing w:after="0" w:line="198" w:lineRule="exact"/>
        <w:rPr>
          <w:rFonts w:ascii="Times New Roman" w:cs="Times New Roman" w:eastAsia="Times New Roman" w:hAnsi="Times New Roman"/>
          <w:sz w:val="22"/>
          <w:szCs w:val="22"/>
          <w:color w:val="auto"/>
        </w:rPr>
      </w:pPr>
    </w:p>
    <w:p>
      <w:pPr>
        <w:jc w:val="both"/>
        <w:ind w:left="720"/>
        <w:spacing w:after="0" w:line="257" w:lineRule="auto"/>
        <w:tabs>
          <w:tab w:leader="none" w:pos="104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92" w:lineRule="exact"/>
        <w:rPr>
          <w:rFonts w:ascii="Times New Roman" w:cs="Times New Roman" w:eastAsia="Times New Roman" w:hAnsi="Times New Roman"/>
          <w:sz w:val="22"/>
          <w:szCs w:val="22"/>
          <w:color w:val="auto"/>
        </w:rPr>
      </w:pPr>
    </w:p>
    <w:p>
      <w:pPr>
        <w:jc w:val="both"/>
        <w:ind w:left="720"/>
        <w:spacing w:after="0" w:line="249" w:lineRule="auto"/>
        <w:tabs>
          <w:tab w:leader="none" w:pos="10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has caused this Power of Attorney to be executed as of September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u w:val="single" w:color="auto"/>
          <w:color w:val="auto"/>
        </w:rPr>
        <w:t>/s/ Amy Butte</w:t>
      </w:r>
    </w:p>
    <w:p>
      <w:pPr>
        <w:spacing w:after="0" w:line="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Amy Butte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sectPr>
      <w:pgSz w:w="11900" w:h="16838" w:orient="portrait"/>
      <w:cols w:equalWidth="0" w:num="1">
        <w:col w:w="10940"/>
      </w:cols>
      <w:pgMar w:left="48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54540" TargetMode="External"/><Relationship Id="rId11"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2025-10-29T20:36:53Z</dcterms:created>
  <dcterms:modified xsi:type="dcterms:W3CDTF">2025-10-29T20:36:53Z</dcterms:modified>
</cp:coreProperties>
</file>