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5194300</wp:posOffset>
            </wp:positionH>
            <wp:positionV relativeFrom="paragraph">
              <wp:posOffset>-606425</wp:posOffset>
            </wp:positionV>
            <wp:extent cx="57150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3910965</wp:posOffset>
            </wp:positionH>
            <wp:positionV relativeFrom="paragraph">
              <wp:posOffset>-606425</wp:posOffset>
            </wp:positionV>
            <wp:extent cx="57150" cy="619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644525</wp:posOffset>
            </wp:positionV>
            <wp:extent cx="6997700" cy="8815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1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300"/>
          </w:cols>
          <w:pgMar w:left="460" w:top="214" w:right="459" w:bottom="6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Cohen Ariel M.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NAVAN,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3045 PARK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Navan,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NAVN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20" w:hanging="4"/>
        <w:spacing w:after="0" w:line="28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4"/>
        <w:spacing w:after="0"/>
        <w:tabs>
          <w:tab w:leader="none" w:pos="172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8745" cy="95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2"/>
          <w:szCs w:val="12"/>
          <w:color w:val="auto"/>
        </w:rPr>
        <w:t xml:space="preserve">   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3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Chairperson and CEO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244"/>
          </w:cols>
          <w:pgMar w:left="460" w:top="214" w:right="459" w:bottom="6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PALO ALTO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94306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left="110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Ariel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833,333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3,165,756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Mordechai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30,333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763,653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30,333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763,653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30,333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763,653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Ariel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3,165,756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Mordechai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763,653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763,653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763,653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14" w:right="459" w:bottom="63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6997700" cy="8228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22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4,796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4,796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4,796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(9)</w:t>
            </w:r>
          </w:p>
        </w:tc>
        <w:tc>
          <w:tcPr>
            <w:tcW w:w="10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1,154,925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Ariel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3,165,756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Mordechai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3,165,756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8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3,165,756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763,653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the Lihi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763,653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763,653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Cohen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8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ind w:lef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763,653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the Shai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763,653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763,653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Cohen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8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ind w:lef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763,653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763,653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8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763,653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Cohen GST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the Lihi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4,796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4,796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4,796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the Shai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4,796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4,796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4,796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 (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4,796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4,796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4,796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NonExempt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-4655185</wp:posOffset>
            </wp:positionV>
            <wp:extent cx="28575" cy="46602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660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of record by the Ariel Mordechai Cohen Living Trust, dated 8/22/2024, for which the Reporting Person is the trustee.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of record by the Lihi Cohen GST Trust dated February 15, 2020, for which Reporting Person may be deemed to have voting and investment power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of record by the Shai Cohen GST Trust dated February 15, 2020, for which Reporting Person may be deemed to have voting and investment power.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of record by the Sivan Cohen GST Trust dated February 15, 2020, for which Reporting Person may be deemed to have voting and investment power.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Upon the completion of the Issuer's initial public offering of Class A Common Stock ("IPO"), each share of Class A Common Stock was exchanged at a 1:1 ratio for shares of Class B Common Stock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of record by the Lihi Cohen Non-Exempt Trust dated May 14, 2022, for which Reporting Person may be deemed to have voting and investment power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of record by the Shai Cohen Non-Exempt Trust dated May 14, 2022, for which Reporting Person may be deemed to have voting and investment power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of record by the Sivan Cohen Non-Exempt Trust dated May 14, 2022, for which Reporting Person may be deemed to have voting and investment power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3"/>
        <w:spacing w:after="0" w:line="282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restricted stock units ("RSUs"), each of which represents a contingent right to receive one share of Issuer's Class A Common Stock upon vesting. Immediately following the completion of the IPO, at the election of the Reporting Person, each share of Class A Common Stock issued upon vesting and settlement of the RSU may be exchanged at a 1:1 ratio for a share of Class B Common Stock.</w:t>
      </w:r>
    </w:p>
    <w:p>
      <w:pPr>
        <w:ind w:left="40" w:right="180" w:hanging="3"/>
        <w:spacing w:after="0" w:line="260" w:lineRule="auto"/>
        <w:tabs>
          <w:tab w:leader="none" w:pos="2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Class B Common Stock held by the Reporting Person will automatically convert into one share of Class A Common Stock upon the sale or transfer of such share of Class B Common Stock, subject to certain exceptions, and in certain other circumstances described in the Issuer's amended and restated certificate of incorporation. Each share of Class B Common Stock is convertible at any time at the option of the Reporting Person into one share of Class A Common Stock. The Class B Common Stock has no expiration date.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Howard Baik,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189" w:right="359" w:bottom="0" w:gutter="0" w:footer="0" w:header="0"/>
        </w:sectPr>
      </w:pPr>
    </w:p>
    <w:bookmarkStart w:id="2" w:name="page3"/>
    <w:bookmarkEnd w:id="2"/>
    <w:p>
      <w:pPr>
        <w:jc w:val="both"/>
        <w:ind w:left="3" w:right="2759" w:hanging="3"/>
        <w:spacing w:after="0" w:line="324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2"/>
      </w:cols>
      <w:pgMar w:left="497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53730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2025-10-31T19:53:46Z</dcterms:created>
  <dcterms:modified xsi:type="dcterms:W3CDTF">2025-10-31T19:53:46Z</dcterms:modified>
</cp:coreProperties>
</file>