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1302026_090102.xml.htm"/>
      <w:bookmarkStart w:id="1" w:name="ksform301302026_09010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Weiss Shai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3045 PARK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01/28/2026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Navan, Inc.</w:t>
              </w:r>
            </w:hyperlink>
            <w:r>
              <w:rPr/>
              <w:t xml:space="preserve"> [ </w:t>
            </w:r>
            <w:r>
              <w:rPr>
                <w:rFonts w:ascii="Times;serif" w:hAnsi="Times;serif"/>
                <w:color w:val="0000FF"/>
                <w:sz w:val="24"/>
                <w:shd w:fill="FFFFFF" w:val="clear"/>
              </w:rPr>
              <w:t>NAVN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Baik,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ex24-01302026_090102.htm"/>
      <w:bookmarkStart w:id="3" w:name="ksex2401302026_090102"/>
      <w:bookmarkStart w:id="4" w:name="ex24-01302026_090102.htm"/>
      <w:bookmarkStart w:id="5" w:name="ksex2401302026_090102"/>
      <w:bookmarkEnd w:id="4"/>
      <w:bookmarkEnd w:id="5"/>
      <w:r>
        <w:br w:type="page"/>
      </w:r>
    </w:p>
    <w:tbl>
      <w:tblPr>
        <w:tblW w:w="9660" w:type="dxa"/>
        <w:jc w:val="center"/>
        <w:tblInd w:w="0" w:type="dxa"/>
        <w:tblLayout w:type="fixed"/>
        <w:tblCellMar>
          <w:top w:w="0" w:type="dxa"/>
          <w:left w:w="0" w:type="dxa"/>
          <w:bottom w:w="0" w:type="dxa"/>
          <w:right w:w="0" w:type="dxa"/>
        </w:tblCellMar>
      </w:tblPr>
      <w:tblGrid>
        <w:gridCol w:w="5250"/>
        <w:gridCol w:w="4410"/>
      </w:tblGrid>
      <w:tr>
        <w:trPr/>
        <w:tc>
          <w:tcPr>
            <w:tcW w:w="5250" w:type="dxa"/>
            <w:tcBorders/>
            <w:vAlign w:val="center"/>
          </w:tcPr>
          <w:p>
            <w:pPr>
              <w:pStyle w:val="TableContents"/>
              <w:bidi w:val="0"/>
              <w:spacing w:before="0" w:after="283"/>
              <w:jc w:val="left"/>
              <w:rPr>
                <w:sz w:val="4"/>
                <w:szCs w:val="4"/>
              </w:rPr>
            </w:pPr>
            <w:r>
              <w:rPr>
                <w:sz w:val="4"/>
                <w:szCs w:val="4"/>
              </w:rPr>
            </w:r>
          </w:p>
        </w:tc>
        <w:tc>
          <w:tcPr>
            <w:tcW w:w="4410" w:type="dxa"/>
            <w:tcBorders/>
            <w:vAlign w:val="center"/>
          </w:tcPr>
          <w:p>
            <w:pPr>
              <w:pStyle w:val="TableContents"/>
              <w:bidi w:val="0"/>
              <w:spacing w:before="0" w:after="283"/>
              <w:jc w:val="left"/>
              <w:rPr>
                <w:sz w:val="4"/>
                <w:szCs w:val="4"/>
              </w:rPr>
            </w:pPr>
            <w:r>
              <w:rPr>
                <w:sz w:val="4"/>
                <w:szCs w:val="4"/>
              </w:rPr>
            </w:r>
          </w:p>
        </w:tc>
      </w:tr>
      <w:tr>
        <w:trPr/>
        <w:tc>
          <w:tcPr>
            <w:tcW w:w="5250" w:type="dxa"/>
            <w:tcBorders/>
          </w:tcPr>
          <w:p>
            <w:pPr>
              <w:pStyle w:val="TableContents"/>
              <w:bidi w:val="0"/>
              <w:spacing w:before="0" w:after="0"/>
              <w:ind w:left="0" w:right="0" w:hanging="0"/>
              <w:jc w:val="left"/>
              <w:rPr/>
            </w:pPr>
            <w:r>
              <w:rPr/>
            </w:r>
          </w:p>
        </w:tc>
        <w:tc>
          <w:tcPr>
            <w:tcW w:w="4410" w:type="dxa"/>
            <w:tcBorders/>
          </w:tcPr>
          <w:p>
            <w:pPr>
              <w:pStyle w:val="TableContents"/>
              <w:bidi w:val="0"/>
              <w:spacing w:before="0" w:after="0"/>
              <w:ind w:left="0" w:right="0" w:hanging="0"/>
              <w:jc w:val="right"/>
              <w:rPr/>
            </w:pPr>
            <w:r>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240" w:before="60" w:after="0"/>
        <w:jc w:val="center"/>
        <w:rPr>
          <w:b/>
          <w:sz w:val="13"/>
        </w:rPr>
      </w:pPr>
      <w:r>
        <w:rPr>
          <w:b/>
          <w:sz w:val="13"/>
        </w:rPr>
        <w:t>POWER OF ATTORNEY</w:t>
      </w:r>
    </w:p>
    <w:p>
      <w:pPr>
        <w:pStyle w:val="TextBody"/>
        <w:bidi w:val="0"/>
        <w:spacing w:before="0" w:after="210"/>
        <w:ind w:left="0" w:right="0" w:firstLine="720"/>
        <w:jc w:val="both"/>
        <w:rPr>
          <w:sz w:val="22"/>
        </w:rPr>
      </w:pPr>
      <w:r>
        <w:rPr>
          <w:sz w:val="22"/>
        </w:rPr>
        <w:t xml:space="preserve">Know all by these presents, that the undersigned hereby constitutes and appoints each of Howard Baik, Anne Giviskos, Dayne Brown, and Loanna Hung, signing individually, the undersigned’s true and lawful attorneys-in fact and agents to: </w:t>
      </w:r>
    </w:p>
    <w:p>
      <w:pPr>
        <w:pStyle w:val="TextBody"/>
        <w:pBdr/>
        <w:bidi w:val="0"/>
        <w:spacing w:before="0" w:after="210"/>
        <w:jc w:val="both"/>
        <w:rPr>
          <w:sz w:val="22"/>
        </w:rPr>
      </w:pPr>
      <w:r>
        <w:rPr>
          <w:sz w:val="22"/>
        </w:rPr>
        <w:t>(1) execute for and on behalf of the undersigned, in the undersigned’s capacity as an officer, director and/or greater than 10% stockholder of Navan, Inc. (the “</w:t>
      </w:r>
      <w:r>
        <w:rPr>
          <w:b/>
          <w:i/>
          <w:sz w:val="22"/>
        </w:rPr>
        <w:t>Company</w:t>
      </w:r>
      <w:r>
        <w:rPr>
          <w:sz w:val="22"/>
        </w:rPr>
        <w:t>”), Forms 3, 4 and 5 (including any amendments thereto) in accordance with Section 16(a) of the Securities Exchange Act of 1934, as amended (the “</w:t>
      </w:r>
      <w:r>
        <w:rPr>
          <w:b/>
          <w:i/>
          <w:sz w:val="22"/>
        </w:rPr>
        <w:t>Exchange Act</w:t>
      </w:r>
      <w:r>
        <w:rPr>
          <w:sz w:val="22"/>
        </w:rPr>
        <w:t xml:space="preserve">”), and the rules thereunder; </w:t>
      </w:r>
    </w:p>
    <w:p>
      <w:pPr>
        <w:pStyle w:val="TextBody"/>
        <w:pBdr/>
        <w:bidi w:val="0"/>
        <w:spacing w:before="0" w:after="210"/>
        <w:jc w:val="both"/>
        <w:rPr>
          <w:sz w:val="22"/>
        </w:rPr>
      </w:pPr>
      <w:r>
        <w:rPr>
          <w:sz w:val="22"/>
        </w:rPr>
        <w:t>(2) 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pStyle w:val="TextBody"/>
        <w:pBdr/>
        <w:bidi w:val="0"/>
        <w:spacing w:before="0" w:after="210"/>
        <w:jc w:val="both"/>
        <w:rPr>
          <w:sz w:val="22"/>
        </w:rPr>
      </w:pPr>
      <w:r>
        <w:rPr>
          <w:sz w:val="22"/>
        </w:rPr>
        <w:t>(3) 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1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210"/>
        <w:ind w:left="0" w:right="0" w:firstLine="720"/>
        <w:jc w:val="both"/>
        <w:rPr>
          <w:sz w:val="22"/>
        </w:rPr>
      </w:pPr>
      <w:r>
        <w:rPr>
          <w:sz w:val="22"/>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pStyle w:val="TextBody"/>
        <w:bidi w:val="0"/>
        <w:spacing w:before="0" w:after="0"/>
        <w:ind w:left="0" w:right="0" w:firstLine="720"/>
        <w:jc w:val="both"/>
        <w:rPr>
          <w:sz w:val="22"/>
        </w:rPr>
      </w:pPr>
      <w:r>
        <w:rPr>
          <w:sz w:val="22"/>
        </w:rPr>
        <w:t>The undersigned has caused this Power of Attorney to be executed as of 1/29/2026.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u w:val="single"/>
        </w:rPr>
      </w:pPr>
      <w:r>
        <w:rPr>
          <w:sz w:val="22"/>
          <w:u w:val="single"/>
        </w:rPr>
        <w:t>/s/ Shai Weiss</w:t>
      </w:r>
    </w:p>
    <w:p>
      <w:pPr>
        <w:pStyle w:val="TextBody"/>
        <w:pBdr/>
        <w:bidi w:val="0"/>
        <w:spacing w:before="0" w:after="0"/>
        <w:ind w:left="0" w:right="0" w:hanging="0"/>
        <w:jc w:val="both"/>
        <w:rPr>
          <w:sz w:val="22"/>
        </w:rPr>
      </w:pPr>
      <w:r>
        <w:rPr>
          <w:sz w:val="22"/>
        </w:rPr>
        <w:t>Shai Weiss</w:t>
      </w:r>
    </w:p>
    <w:p>
      <w:pPr>
        <w:pStyle w:val="TextBody"/>
        <w:bidi w:val="0"/>
        <w:spacing w:before="0" w:after="0"/>
        <w:ind w:left="0" w:right="0" w:hanging="0"/>
        <w:jc w:val="both"/>
        <w:rPr/>
      </w:pPr>
      <w:r>
        <w:rPr/>
      </w:r>
    </w:p>
    <w:p>
      <w:pPr>
        <w:pStyle w:val="TextBody"/>
        <w:bidi w:val="0"/>
        <w:spacing w:lineRule="atLeast" w:line="200" w:before="0" w:after="0"/>
        <w:ind w:left="0" w:right="0" w:firstLine="4590"/>
        <w:jc w:val="left"/>
        <w:rPr>
          <w:sz w:val="24"/>
        </w:rPr>
      </w:pPr>
      <w:r>
        <w:rPr>
          <w:sz w:val="24"/>
        </w:rPr>
        <w:t>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78381" TargetMode="External"/><Relationship Id="rId3" Type="http://schemas.openxmlformats.org/officeDocument/2006/relationships/hyperlink" Target="http://www.sec.gov/cgi-bin/browse-edgar?action=getcompany&amp;CIK=000163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864</Words>
  <Characters>4614</Characters>
  <CharactersWithSpaces>5431</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