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7915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7915910"/>
                    </a:xfrm>
                    <a:prstGeom prst="rect">
                      <a:avLst/>
                    </a:prstGeom>
                    <a:noFill/>
                  </pic:spPr>
                </pic:pic>
              </a:graphicData>
            </a:graphic>
          </wp:anchor>
        </w:drawing>
      </w:r>
    </w:p>
    <w:p>
      <w:pPr>
        <w:sectPr>
          <w:pgSz w:w="11900" w:h="16894"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Janmohamed Arif</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10/29/2025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Navan,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NAVN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94"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0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6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NAVAN, INC.</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3045 PARK BOULEVARD</w:t>
            </w:r>
          </w:p>
        </w:tc>
        <w:tc>
          <w:tcPr>
            <w:tcW w:w="0" w:type="dxa"/>
            <w:vAlign w:val="bottom"/>
          </w:tcPr>
          <w:p>
            <w:pPr>
              <w:spacing w:after="0"/>
              <w:rPr>
                <w:sz w:val="1"/>
                <w:szCs w:val="1"/>
                <w:color w:val="auto"/>
              </w:rPr>
            </w:pPr>
          </w:p>
        </w:tc>
      </w:tr>
      <w:tr>
        <w:trPr>
          <w:trHeight w:val="177"/>
        </w:trPr>
        <w:tc>
          <w:tcPr>
            <w:tcW w:w="8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PALO</w:t>
            </w:r>
          </w:p>
        </w:tc>
        <w:tc>
          <w:tcPr>
            <w:tcW w:w="10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CA</w:t>
            </w:r>
          </w:p>
        </w:tc>
        <w:tc>
          <w:tcPr>
            <w:tcW w:w="12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94306</w:t>
            </w:r>
          </w:p>
        </w:tc>
        <w:tc>
          <w:tcPr>
            <w:tcW w:w="0" w:type="dxa"/>
            <w:vAlign w:val="bottom"/>
          </w:tcPr>
          <w:p>
            <w:pPr>
              <w:spacing w:after="0"/>
              <w:rPr>
                <w:sz w:val="1"/>
                <w:szCs w:val="1"/>
                <w:color w:val="auto"/>
              </w:rPr>
            </w:pPr>
          </w:p>
        </w:tc>
      </w:tr>
      <w:tr>
        <w:trPr>
          <w:trHeight w:val="134"/>
        </w:trPr>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ALTO</w:t>
            </w:r>
          </w:p>
        </w:tc>
        <w:tc>
          <w:tcPr>
            <w:tcW w:w="10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94"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20" w:type="dxa"/>
            <w:vAlign w:val="bottom"/>
          </w:tcPr>
          <w:p>
            <w:pPr>
              <w:ind w:left="100"/>
              <w:spacing w:after="0"/>
              <w:rPr>
                <w:sz w:val="20"/>
                <w:szCs w:val="20"/>
                <w:color w:val="auto"/>
              </w:rPr>
            </w:pPr>
            <w:r>
              <w:rPr>
                <w:rFonts w:ascii="Arial" w:cs="Arial" w:eastAsia="Arial" w:hAnsi="Arial"/>
                <w:sz w:val="15"/>
                <w:szCs w:val="15"/>
                <w:b w:val="1"/>
                <w:bCs w:val="1"/>
                <w:color w:val="auto"/>
              </w:rPr>
              <w:t>2. Amount of Securities</w:t>
            </w:r>
          </w:p>
        </w:tc>
        <w:tc>
          <w:tcPr>
            <w:tcW w:w="1540" w:type="dxa"/>
            <w:vAlign w:val="bottom"/>
            <w:gridSpan w:val="3"/>
          </w:tcPr>
          <w:p>
            <w:pPr>
              <w:ind w:left="36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60" w:type="dxa"/>
            <w:vAlign w:val="bottom"/>
            <w:gridSpan w:val="4"/>
          </w:tcPr>
          <w:p>
            <w:pPr>
              <w:ind w:left="10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540" w:type="dxa"/>
            <w:vAlign w:val="bottom"/>
            <w:gridSpan w:val="3"/>
          </w:tcPr>
          <w:p>
            <w:pPr>
              <w:ind w:left="36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gridSpan w:val="3"/>
          </w:tcPr>
          <w:p>
            <w:pPr>
              <w:ind w:left="36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0000FF"/>
              </w:rPr>
              <w:t>302,503</w:t>
            </w:r>
          </w:p>
        </w:tc>
        <w:tc>
          <w:tcPr>
            <w:tcW w:w="840" w:type="dxa"/>
            <w:vAlign w:val="bottom"/>
          </w:tcPr>
          <w:p>
            <w:pPr>
              <w:spacing w:after="0"/>
              <w:rPr>
                <w:sz w:val="24"/>
                <w:szCs w:val="24"/>
                <w:color w:val="auto"/>
              </w:rPr>
            </w:pPr>
          </w:p>
        </w:tc>
        <w:tc>
          <w:tcPr>
            <w:tcW w:w="700" w:type="dxa"/>
            <w:vAlign w:val="bottom"/>
            <w:gridSpan w:val="2"/>
            <w:vMerge w:val="restart"/>
          </w:tcPr>
          <w:p>
            <w:pPr>
              <w:jc w:val="right"/>
              <w:ind w:right="565"/>
              <w:spacing w:after="0"/>
              <w:rPr>
                <w:sz w:val="20"/>
                <w:szCs w:val="20"/>
                <w:color w:val="auto"/>
              </w:rPr>
            </w:pPr>
            <w:r>
              <w:rPr>
                <w:rFonts w:ascii="Times New Roman" w:cs="Times New Roman" w:eastAsia="Times New Roman" w:hAnsi="Times New Roman"/>
                <w:sz w:val="16"/>
                <w:szCs w:val="16"/>
                <w:color w:val="0000FF"/>
                <w:w w:val="74"/>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Lightspeed Opportunity Fund,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L.P.</w:t>
            </w:r>
            <w:r>
              <w:rPr>
                <w:rFonts w:ascii="Times New Roman" w:cs="Times New Roman" w:eastAsia="Times New Roman" w:hAnsi="Times New Roman"/>
                <w:sz w:val="25"/>
                <w:szCs w:val="25"/>
                <w:color w:val="008000"/>
                <w:vertAlign w:val="superscript"/>
              </w:rPr>
              <w:t>(1)</w:t>
            </w: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276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18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280" w:type="dxa"/>
            <w:vAlign w:val="bottom"/>
            <w:tcBorders>
              <w:bottom w:val="single" w:sz="8" w:color="2C2C2C"/>
            </w:tcBorders>
            <w:gridSpan w:val="2"/>
            <w:vMerge w:val="continue"/>
          </w:tcPr>
          <w:p>
            <w:pPr>
              <w:spacing w:after="0"/>
              <w:rPr>
                <w:sz w:val="20"/>
                <w:szCs w:val="20"/>
                <w:color w:val="auto"/>
              </w:rPr>
            </w:pPr>
          </w:p>
        </w:tc>
        <w:tc>
          <w:tcPr>
            <w:tcW w:w="14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240" w:type="dxa"/>
            <w:vAlign w:val="bottom"/>
            <w:tcBorders>
              <w:top w:val="single" w:sz="8" w:color="2C2C2C"/>
            </w:tcBorders>
            <w:gridSpan w:val="6"/>
          </w:tcPr>
          <w:p>
            <w:pPr>
              <w:jc w:val="right"/>
              <w:ind w:right="325"/>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jc w:val="right"/>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4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840" w:type="dxa"/>
            <w:vAlign w:val="bottom"/>
          </w:tcPr>
          <w:p>
            <w:pPr>
              <w:ind w:left="4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11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20" w:type="dxa"/>
            <w:vAlign w:val="bottom"/>
            <w:vMerge w:val="continue"/>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2,432,552</w:t>
            </w:r>
          </w:p>
        </w:tc>
        <w:tc>
          <w:tcPr>
            <w:tcW w:w="7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3"/>
                <w:szCs w:val="13"/>
                <w:color w:val="008000"/>
              </w:rPr>
              <w:t>(2)</w:t>
            </w:r>
          </w:p>
        </w:tc>
        <w:tc>
          <w:tcPr>
            <w:tcW w:w="34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Opportunity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4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Fund,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8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E Preferred Stock</w:t>
            </w:r>
          </w:p>
        </w:tc>
        <w:tc>
          <w:tcPr>
            <w:tcW w:w="11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20" w:type="dxa"/>
            <w:vAlign w:val="bottom"/>
            <w:vMerge w:val="continue"/>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1,759,626</w:t>
            </w:r>
          </w:p>
        </w:tc>
        <w:tc>
          <w:tcPr>
            <w:tcW w:w="7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3"/>
                <w:szCs w:val="13"/>
                <w:color w:val="008000"/>
              </w:rPr>
              <w:t>(2)</w:t>
            </w:r>
          </w:p>
        </w:tc>
        <w:tc>
          <w:tcPr>
            <w:tcW w:w="34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Opportunity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4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Fund,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8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E Preferred Stock</w:t>
            </w:r>
          </w:p>
        </w:tc>
        <w:tc>
          <w:tcPr>
            <w:tcW w:w="11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20" w:type="dxa"/>
            <w:vAlign w:val="bottom"/>
            <w:vMerge w:val="continue"/>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385,038</w:t>
            </w:r>
          </w:p>
        </w:tc>
        <w:tc>
          <w:tcPr>
            <w:tcW w:w="7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3"/>
                <w:szCs w:val="13"/>
                <w:color w:val="008000"/>
              </w:rPr>
              <w:t>(2)</w:t>
            </w:r>
          </w:p>
        </w:tc>
        <w:tc>
          <w:tcPr>
            <w:tcW w:w="34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Strategic</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4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w w:val="98"/>
              </w:rPr>
              <w:t>Partners I, L.P.</w:t>
            </w:r>
            <w:r>
              <w:rPr>
                <w:rFonts w:ascii="Times New Roman" w:cs="Times New Roman" w:eastAsia="Times New Roman" w:hAnsi="Times New Roman"/>
                <w:sz w:val="25"/>
                <w:szCs w:val="25"/>
                <w:color w:val="008000"/>
                <w:w w:val="98"/>
                <w:vertAlign w:val="superscript"/>
              </w:rPr>
              <w:t>(3)</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8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F Preferred Stock</w:t>
            </w:r>
          </w:p>
        </w:tc>
        <w:tc>
          <w:tcPr>
            <w:tcW w:w="11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20" w:type="dxa"/>
            <w:vAlign w:val="bottom"/>
            <w:vMerge w:val="continue"/>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218,667</w:t>
            </w:r>
          </w:p>
        </w:tc>
        <w:tc>
          <w:tcPr>
            <w:tcW w:w="7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3"/>
                <w:szCs w:val="13"/>
                <w:color w:val="008000"/>
              </w:rPr>
              <w:t>(2)</w:t>
            </w:r>
          </w:p>
        </w:tc>
        <w:tc>
          <w:tcPr>
            <w:tcW w:w="34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Opportunity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4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Fund,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8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G-1 Preferred Stock</w:t>
            </w:r>
          </w:p>
        </w:tc>
        <w:tc>
          <w:tcPr>
            <w:tcW w:w="11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20" w:type="dxa"/>
            <w:vAlign w:val="bottom"/>
            <w:vMerge w:val="continue"/>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67,641</w:t>
            </w:r>
          </w:p>
        </w:tc>
        <w:tc>
          <w:tcPr>
            <w:tcW w:w="7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3"/>
                <w:szCs w:val="13"/>
                <w:color w:val="008000"/>
              </w:rPr>
              <w:t>(2)</w:t>
            </w:r>
          </w:p>
        </w:tc>
        <w:tc>
          <w:tcPr>
            <w:tcW w:w="34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Opportunity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4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Fund,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8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G-1 Preferred Stock</w:t>
            </w:r>
          </w:p>
        </w:tc>
        <w:tc>
          <w:tcPr>
            <w:tcW w:w="11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20" w:type="dxa"/>
            <w:vAlign w:val="bottom"/>
            <w:vMerge w:val="continue"/>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202,927</w:t>
            </w:r>
          </w:p>
        </w:tc>
        <w:tc>
          <w:tcPr>
            <w:tcW w:w="7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3"/>
                <w:szCs w:val="13"/>
                <w:color w:val="008000"/>
              </w:rPr>
              <w:t>(2)</w:t>
            </w:r>
          </w:p>
        </w:tc>
        <w:tc>
          <w:tcPr>
            <w:tcW w:w="34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Strategic</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4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w w:val="99"/>
              </w:rPr>
              <w:t>Partners I, L.P.</w:t>
            </w:r>
            <w:r>
              <w:rPr>
                <w:rFonts w:ascii="Times New Roman" w:cs="Times New Roman" w:eastAsia="Times New Roman" w:hAnsi="Times New Roman"/>
                <w:sz w:val="25"/>
                <w:szCs w:val="25"/>
                <w:color w:val="008000"/>
                <w:w w:val="99"/>
                <w:vertAlign w:val="superscript"/>
              </w:rPr>
              <w:t>(3)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8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are held by Lightspeed Opportunity Fund, L.P. ("Opportunity"). Lightspeed General Partner Opportunity Fund, L.P. ("LGP Opportunity") is the general partner of Opportunity. Lightspeed Ultimate General Partner Opportunity Fund, Ltd. ("LUGP Opportunity") is the general partner of LGP Opportunity. The Reporting Person is a director of LUGP Opportunity and shares voting and dispositive power with respect to the shares held by Opportunity. The Reporting Person disclaims beneficial ownership of these shares except to the extent of his pecuniary interest therein.</w:t>
      </w:r>
    </w:p>
    <w:p>
      <w:pPr>
        <w:spacing w:after="0" w:line="33" w:lineRule="exact"/>
        <w:rPr>
          <w:rFonts w:ascii="Times New Roman" w:cs="Times New Roman" w:eastAsia="Times New Roman" w:hAnsi="Times New Roman"/>
          <w:sz w:val="15"/>
          <w:szCs w:val="15"/>
          <w:color w:val="008000"/>
        </w:rPr>
      </w:pPr>
    </w:p>
    <w:p>
      <w:pPr>
        <w:ind w:left="40" w:right="1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Series D, Series E, Series F and Series G-1 Preferred Stock are each convertible into Class A Common Stock on a ratio dependent on the public offering price of the Class A Common Stock in the Issuer's initial public offering, and have no expiration date. Upon the closing of the Issuer's initial public offering, all shares of Series D, Series E, Series F and Series G-1 Preferred Stock will be converted into shares of Class A Common Stock of the Issuer.</w:t>
      </w:r>
    </w:p>
    <w:p>
      <w:pPr>
        <w:sectPr>
          <w:pgSz w:w="11900" w:h="16894" w:orient="portrait"/>
          <w:cols w:equalWidth="0" w:num="1">
            <w:col w:w="10940"/>
          </w:cols>
          <w:pgMar w:left="480" w:top="230" w:right="479" w:bottom="0" w:gutter="0" w:footer="0" w:header="0"/>
          <w:type w:val="continuous"/>
        </w:sectPr>
      </w:pPr>
    </w:p>
    <w:bookmarkStart w:id="1" w:name="page2"/>
    <w:bookmarkEnd w:id="1"/>
    <w:p>
      <w:pPr>
        <w:ind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are held by Lightspeed Strategic Partners I L.P. ("Strategic "). Lightspeed Strategic Partners General Partner I L.P. ("LGP Strategic") is the general partner of Strategic. Lightspeed Strategic Partners Ultimate General Partner I L.L.C. ("LUGP Strategic") is the general partner of LGP Strategic. The Reporting Person is a manager of LUGP Strategic and shares voting and dispositive power with respect to the shares held by Strategic. The Reporting Person disclaims beneficial ownership of these shares except to the extent of his pecuniary interest therein.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Arif Janmohamed</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10/29/2025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5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13938" TargetMode="External"/><Relationship Id="rId11"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2025-10-29T20:40:59Z</dcterms:created>
  <dcterms:modified xsi:type="dcterms:W3CDTF">2025-10-29T20:40:59Z</dcterms:modified>
</cp:coreProperties>
</file>