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496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4961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Twig Ilan Ezra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2"/>
              </w:rPr>
              <w:t>587,222</w:t>
            </w:r>
            <w:r>
              <w:rPr>
                <w:rFonts w:ascii="Times New Roman" w:cs="Times New Roman" w:eastAsia="Times New Roman" w:hAnsi="Times New Roman"/>
                <w:sz w:val="25"/>
                <w:szCs w:val="25"/>
                <w:color w:val="008000"/>
                <w:w w:val="92"/>
                <w:vertAlign w:val="superscript"/>
              </w:rPr>
              <w:t>(2)</w:t>
            </w:r>
          </w:p>
        </w:tc>
        <w:tc>
          <w:tcPr>
            <w:tcW w:w="96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20"/>
                <w:szCs w:val="20"/>
                <w:color w:val="0000FF"/>
                <w:w w:val="96"/>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90"/>
              <w:spacing w:after="0"/>
              <w:rPr>
                <w:sz w:val="20"/>
                <w:szCs w:val="20"/>
                <w:color w:val="auto"/>
              </w:rPr>
            </w:pPr>
            <w:r>
              <w:rPr>
                <w:rFonts w:ascii="Times New Roman" w:cs="Times New Roman" w:eastAsia="Times New Roman" w:hAnsi="Times New Roman"/>
                <w:sz w:val="20"/>
                <w:szCs w:val="20"/>
                <w:color w:val="0000FF"/>
                <w:w w:val="97"/>
              </w:rPr>
              <w:t>9,939,081</w:t>
            </w:r>
          </w:p>
        </w:tc>
        <w:tc>
          <w:tcPr>
            <w:tcW w:w="96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The Ilan Twig Living Trust</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70"/>
              <w:spacing w:after="0"/>
              <w:rPr>
                <w:sz w:val="20"/>
                <w:szCs w:val="20"/>
                <w:color w:val="auto"/>
              </w:rPr>
            </w:pPr>
            <w:r>
              <w:rPr>
                <w:rFonts w:ascii="Times New Roman" w:cs="Times New Roman" w:eastAsia="Times New Roman" w:hAnsi="Times New Roman"/>
                <w:sz w:val="20"/>
                <w:szCs w:val="20"/>
                <w:color w:val="0000FF"/>
                <w:w w:val="98"/>
              </w:rPr>
              <w:t>127,846</w:t>
            </w:r>
          </w:p>
        </w:tc>
        <w:tc>
          <w:tcPr>
            <w:tcW w:w="960" w:type="dxa"/>
            <w:vAlign w:val="bottom"/>
            <w:gridSpan w:val="2"/>
            <w:vMerge w:val="restart"/>
          </w:tcPr>
          <w:p>
            <w:pPr>
              <w:jc w:val="center"/>
              <w:ind w:left="651"/>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Twig Irrevocable Gift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(5)</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vMerge w:val="continue"/>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70"/>
              <w:spacing w:after="0"/>
              <w:rPr>
                <w:sz w:val="20"/>
                <w:szCs w:val="20"/>
                <w:color w:val="auto"/>
              </w:rPr>
            </w:pPr>
            <w:r>
              <w:rPr>
                <w:rFonts w:ascii="Times New Roman" w:cs="Times New Roman" w:eastAsia="Times New Roman" w:hAnsi="Times New Roman"/>
                <w:sz w:val="20"/>
                <w:szCs w:val="20"/>
                <w:color w:val="0000FF"/>
                <w:w w:val="98"/>
              </w:rPr>
              <w:t>766,666</w:t>
            </w:r>
          </w:p>
        </w:tc>
        <w:tc>
          <w:tcPr>
            <w:tcW w:w="960" w:type="dxa"/>
            <w:vAlign w:val="bottom"/>
            <w:gridSpan w:val="2"/>
            <w:vMerge w:val="restart"/>
          </w:tcPr>
          <w:p>
            <w:pPr>
              <w:jc w:val="center"/>
              <w:ind w:left="651"/>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Leeor Eli Twig GST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(6)</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gridSpan w:val="2"/>
            <w:vMerge w:val="continue"/>
          </w:tcPr>
          <w:p>
            <w:pPr>
              <w:spacing w:after="0"/>
              <w:rPr>
                <w:sz w:val="14"/>
                <w:szCs w:val="14"/>
                <w:color w:val="auto"/>
              </w:rPr>
            </w:pPr>
          </w:p>
        </w:tc>
        <w:tc>
          <w:tcPr>
            <w:tcW w:w="1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03/17/2031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2,072,340</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10.05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(8)</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01/16/2033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666,666</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16.26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(8)</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04/12/2033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200,853</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16.26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(8)</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04/23/2035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254,315</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22.62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(8)</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04/23/2035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381,473</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22.62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(8)</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Immediately following the completion of the Issuer's initial public offering of Class A Common Stock ("IPO"), at the election of the Reporting Person, each share of Class A Common Stock issued upon vesting and settlement of RSUs may be exchanged at a 1:1 ratio for a share of Class B Common Stock.</w:t>
      </w:r>
    </w:p>
    <w:p>
      <w:pPr>
        <w:spacing w:after="0" w:line="29" w:lineRule="exact"/>
        <w:rPr>
          <w:rFonts w:ascii="Times New Roman" w:cs="Times New Roman" w:eastAsia="Times New Roman" w:hAnsi="Times New Roman"/>
          <w:sz w:val="15"/>
          <w:szCs w:val="15"/>
          <w:color w:val="008000"/>
        </w:rPr>
      </w:pPr>
    </w:p>
    <w:p>
      <w:pPr>
        <w:ind w:left="40" w:right="16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(i) 352,333 RSUs that are subject to a time-based service condition only, which will be satisfied as to 25% of such RSUs on the first anniversary of the vesting commencement date, and an additional 1/16th of the total number of such RSUs every quarter thereafter, subject to Reporting Person's continued service through each vesting date and (ii) 234,889 RSUs that are subject to a time-based service condition and a performance-based condition, both of which must be satisfied to vest. The time-based service condition will be satisfied as to 25% of the total number of such RSUs on the first anniversary of the vesting commencement date, and an additional 1/16th of the total number of such RSUs every quarter thereafter, subject to Reporting Person's continued service through each vesting date. The performance-based condition was satisfied upon a liquidity event which occurred upon the effectiveness of Issuer's registration statement on Form S-1 in connection with the IPO.</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Upon the completion of the IPO, each share of Class A Common Stock shall be exchanged at a 1:1 ratio for shares of Class B Common Stock.</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Ilan Twig Living Trust, for which the Reporting Person is the trustee.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Twig Irrevocable Gift Trust, for which the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Leeor Eli Twig GST Trust, for which the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are fully vested.</w:t>
      </w:r>
    </w:p>
    <w:p>
      <w:pPr>
        <w:spacing w:after="0" w:line="52" w:lineRule="exact"/>
        <w:rPr>
          <w:rFonts w:ascii="Times New Roman" w:cs="Times New Roman" w:eastAsia="Times New Roman" w:hAnsi="Times New Roman"/>
          <w:sz w:val="15"/>
          <w:szCs w:val="15"/>
          <w:color w:val="008000"/>
        </w:rPr>
      </w:pPr>
    </w:p>
    <w:p>
      <w:pPr>
        <w:ind w:right="18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following the completion of the IPO, at the election of the Reporting Person, each share of Class A Common Stock issued upon the exercise of the option may be exchanged at a 1:1 ratio for a share of Class B Common Stock.</w:t>
      </w:r>
    </w:p>
    <w:p>
      <w:pPr>
        <w:spacing w:after="0" w:line="17" w:lineRule="exact"/>
        <w:rPr>
          <w:rFonts w:ascii="Times New Roman" w:cs="Times New Roman" w:eastAsia="Times New Roman" w:hAnsi="Times New Roman"/>
          <w:sz w:val="15"/>
          <w:szCs w:val="15"/>
          <w:color w:val="008000"/>
        </w:rPr>
      </w:pPr>
    </w:p>
    <w:p>
      <w:pPr>
        <w:ind w:right="1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in 48 equal monthly installments beginning on the one-month anniversary of the vesting commencement date, subject to Reporting Person's continued service through each applicable vesting date.</w:t>
      </w:r>
    </w:p>
    <w:p>
      <w:pPr>
        <w:spacing w:after="0" w:line="17" w:lineRule="exact"/>
        <w:rPr>
          <w:rFonts w:ascii="Times New Roman" w:cs="Times New Roman" w:eastAsia="Times New Roman" w:hAnsi="Times New Roman"/>
          <w:sz w:val="15"/>
          <w:szCs w:val="15"/>
          <w:color w:val="008000"/>
        </w:rPr>
      </w:pPr>
    </w:p>
    <w:p>
      <w:pPr>
        <w:ind w:right="120" w:firstLine="5"/>
        <w:spacing w:after="0" w:line="244"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with respect to 25% of the shares subject to the stock option on the first anniversary of the vesting commencement date, and the remaining 75% of the shares subject to the stock option vest in equal monthly installments over the following three years, subject to Reporting Person's continued service through each applicable vesting date.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Ilan Twig</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Ilan Twig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85105"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2025-10-29T20:32:21Z</dcterms:created>
  <dcterms:modified xsi:type="dcterms:W3CDTF">2025-10-29T20:32:21Z</dcterms:modified>
</cp:coreProperties>
</file>