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color w:val="auto"/>
        </w:rPr>
        <w:t>As filed with the Securities and Exchange Commission on October 30, 2025</w:t>
      </w:r>
    </w:p>
    <w:p>
      <w:pPr>
        <w:spacing w:after="0" w:line="163" w:lineRule="exact"/>
        <w:rPr>
          <w:sz w:val="24"/>
          <w:szCs w:val="24"/>
          <w:color w:val="auto"/>
        </w:rPr>
      </w:pPr>
    </w:p>
    <w:p>
      <w:pPr>
        <w:ind w:left="9700"/>
        <w:spacing w:after="0"/>
        <w:rPr>
          <w:sz w:val="20"/>
          <w:szCs w:val="20"/>
          <w:color w:val="auto"/>
        </w:rPr>
      </w:pPr>
      <w:r>
        <w:rPr>
          <w:rFonts w:ascii="Times New Roman" w:cs="Times New Roman" w:eastAsia="Times New Roman" w:hAnsi="Times New Roman"/>
          <w:sz w:val="14"/>
          <w:szCs w:val="14"/>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17145</wp:posOffset>
            </wp:positionV>
            <wp:extent cx="1192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S-8</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21590</wp:posOffset>
            </wp:positionV>
            <wp:extent cx="1192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Navan,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22860</wp:posOffset>
            </wp:positionV>
            <wp:extent cx="1192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164" w:lineRule="exact"/>
        <w:rPr>
          <w:sz w:val="24"/>
          <w:szCs w:val="24"/>
          <w:color w:val="auto"/>
        </w:rPr>
      </w:pPr>
    </w:p>
    <w:tbl>
      <w:tblPr>
        <w:tblLayout w:type="fixed"/>
        <w:tblInd w:w="1880" w:type="dxa"/>
        <w:tblCellMar>
          <w:top w:w="0" w:type="dxa"/>
          <w:left w:w="0" w:type="dxa"/>
          <w:bottom w:w="0" w:type="dxa"/>
          <w:right w:w="0" w:type="dxa"/>
        </w:tblCellMar>
      </w:tblPr>
      <w:tr>
        <w:trPr>
          <w:trHeight w:val="216"/>
        </w:trPr>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5220" w:type="dxa"/>
            <w:vAlign w:val="bottom"/>
          </w:tcPr>
          <w:p>
            <w:pPr>
              <w:jc w:val="center"/>
              <w:ind w:left="4080"/>
              <w:spacing w:after="0"/>
              <w:rPr>
                <w:sz w:val="20"/>
                <w:szCs w:val="20"/>
                <w:color w:val="auto"/>
              </w:rPr>
            </w:pPr>
            <w:r>
              <w:rPr>
                <w:rFonts w:ascii="Times New Roman" w:cs="Times New Roman" w:eastAsia="Times New Roman" w:hAnsi="Times New Roman"/>
                <w:sz w:val="17"/>
                <w:szCs w:val="17"/>
                <w:b w:val="1"/>
                <w:bCs w:val="1"/>
                <w:color w:val="auto"/>
                <w:w w:val="99"/>
              </w:rPr>
              <w:t>47-3424780</w:t>
            </w:r>
          </w:p>
        </w:tc>
      </w:tr>
      <w:tr>
        <w:trPr>
          <w:trHeight w:val="142"/>
        </w:trPr>
        <w:tc>
          <w:tcPr>
            <w:tcW w:w="1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5220" w:type="dxa"/>
            <w:vAlign w:val="bottom"/>
          </w:tcPr>
          <w:p>
            <w:pPr>
              <w:jc w:val="center"/>
              <w:ind w:left="40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188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5220" w:type="dxa"/>
            <w:vAlign w:val="bottom"/>
          </w:tcPr>
          <w:p>
            <w:pPr>
              <w:jc w:val="center"/>
              <w:ind w:left="406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87"/>
        </w:trPr>
        <w:tc>
          <w:tcPr>
            <w:tcW w:w="1880" w:type="dxa"/>
            <w:vAlign w:val="bottom"/>
          </w:tcPr>
          <w:p>
            <w:pPr>
              <w:spacing w:after="0"/>
              <w:rPr>
                <w:sz w:val="24"/>
                <w:szCs w:val="24"/>
                <w:color w:val="auto"/>
              </w:rPr>
            </w:pPr>
          </w:p>
        </w:tc>
        <w:tc>
          <w:tcPr>
            <w:tcW w:w="5220" w:type="dxa"/>
            <w:vAlign w:val="bottom"/>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3045 Park Boulevard</w:t>
            </w:r>
          </w:p>
        </w:tc>
      </w:tr>
      <w:tr>
        <w:trPr>
          <w:trHeight w:val="207"/>
        </w:trPr>
        <w:tc>
          <w:tcPr>
            <w:tcW w:w="1880" w:type="dxa"/>
            <w:vAlign w:val="bottom"/>
          </w:tcPr>
          <w:p>
            <w:pPr>
              <w:spacing w:after="0"/>
              <w:rPr>
                <w:sz w:val="18"/>
                <w:szCs w:val="18"/>
                <w:color w:val="auto"/>
              </w:rPr>
            </w:pPr>
          </w:p>
        </w:tc>
        <w:tc>
          <w:tcPr>
            <w:tcW w:w="5220" w:type="dxa"/>
            <w:vAlign w:val="bottom"/>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Palo Alto, California 94306</w:t>
            </w:r>
          </w:p>
        </w:tc>
      </w:tr>
      <w:tr>
        <w:trPr>
          <w:trHeight w:val="203"/>
        </w:trPr>
        <w:tc>
          <w:tcPr>
            <w:tcW w:w="1880" w:type="dxa"/>
            <w:vAlign w:val="bottom"/>
          </w:tcPr>
          <w:p>
            <w:pPr>
              <w:spacing w:after="0"/>
              <w:rPr>
                <w:sz w:val="17"/>
                <w:szCs w:val="17"/>
                <w:color w:val="auto"/>
              </w:rPr>
            </w:pPr>
          </w:p>
        </w:tc>
        <w:tc>
          <w:tcPr>
            <w:tcW w:w="5220" w:type="dxa"/>
            <w:vAlign w:val="bottom"/>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(888) 505-8747</w:t>
            </w:r>
          </w:p>
        </w:tc>
      </w:tr>
      <w:tr>
        <w:trPr>
          <w:trHeight w:val="183"/>
        </w:trPr>
        <w:tc>
          <w:tcPr>
            <w:tcW w:w="1880" w:type="dxa"/>
            <w:vAlign w:val="bottom"/>
          </w:tcPr>
          <w:p>
            <w:pPr>
              <w:spacing w:after="0"/>
              <w:rPr>
                <w:sz w:val="15"/>
                <w:szCs w:val="15"/>
                <w:color w:val="auto"/>
              </w:rPr>
            </w:pPr>
          </w:p>
        </w:tc>
        <w:tc>
          <w:tcPr>
            <w:tcW w:w="5220" w:type="dxa"/>
            <w:vAlign w:val="bottom"/>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including zip code)</w:t>
            </w:r>
          </w:p>
        </w:tc>
      </w:tr>
      <w:tr>
        <w:trPr>
          <w:trHeight w:val="352"/>
        </w:trPr>
        <w:tc>
          <w:tcPr>
            <w:tcW w:w="1880" w:type="dxa"/>
            <w:vAlign w:val="bottom"/>
          </w:tcPr>
          <w:p>
            <w:pPr>
              <w:spacing w:after="0"/>
              <w:rPr>
                <w:sz w:val="24"/>
                <w:szCs w:val="24"/>
                <w:color w:val="auto"/>
              </w:rPr>
            </w:pPr>
          </w:p>
        </w:tc>
        <w:tc>
          <w:tcPr>
            <w:tcW w:w="5220" w:type="dxa"/>
            <w:vAlign w:val="bottom"/>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Navan, Inc. 2015 Equity Incentive Plan</w:t>
            </w:r>
          </w:p>
        </w:tc>
      </w:tr>
      <w:tr>
        <w:trPr>
          <w:trHeight w:val="207"/>
        </w:trPr>
        <w:tc>
          <w:tcPr>
            <w:tcW w:w="1880" w:type="dxa"/>
            <w:vAlign w:val="bottom"/>
          </w:tcPr>
          <w:p>
            <w:pPr>
              <w:spacing w:after="0"/>
              <w:rPr>
                <w:sz w:val="18"/>
                <w:szCs w:val="18"/>
                <w:color w:val="auto"/>
              </w:rPr>
            </w:pPr>
          </w:p>
        </w:tc>
        <w:tc>
          <w:tcPr>
            <w:tcW w:w="5220" w:type="dxa"/>
            <w:vAlign w:val="bottom"/>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Navan, Inc. 2025 Equity Incentive Plan</w:t>
            </w:r>
          </w:p>
        </w:tc>
      </w:tr>
      <w:tr>
        <w:trPr>
          <w:trHeight w:val="203"/>
        </w:trPr>
        <w:tc>
          <w:tcPr>
            <w:tcW w:w="1880" w:type="dxa"/>
            <w:vAlign w:val="bottom"/>
          </w:tcPr>
          <w:p>
            <w:pPr>
              <w:spacing w:after="0"/>
              <w:rPr>
                <w:sz w:val="17"/>
                <w:szCs w:val="17"/>
                <w:color w:val="auto"/>
              </w:rPr>
            </w:pPr>
          </w:p>
        </w:tc>
        <w:tc>
          <w:tcPr>
            <w:tcW w:w="5220" w:type="dxa"/>
            <w:vAlign w:val="bottom"/>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Navan, Inc. 2025 Employee Stock Purchase Plan</w:t>
            </w:r>
          </w:p>
        </w:tc>
      </w:tr>
      <w:tr>
        <w:trPr>
          <w:trHeight w:val="183"/>
        </w:trPr>
        <w:tc>
          <w:tcPr>
            <w:tcW w:w="1880" w:type="dxa"/>
            <w:vAlign w:val="bottom"/>
          </w:tcPr>
          <w:p>
            <w:pPr>
              <w:spacing w:after="0"/>
              <w:rPr>
                <w:sz w:val="15"/>
                <w:szCs w:val="15"/>
                <w:color w:val="auto"/>
              </w:rPr>
            </w:pPr>
          </w:p>
        </w:tc>
        <w:tc>
          <w:tcPr>
            <w:tcW w:w="5220" w:type="dxa"/>
            <w:vAlign w:val="bottom"/>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8"/>
              </w:rPr>
              <w:t>(Full titles of the plans)</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Ariel Cohen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Chairperson of the Board of Directors and Chief Executive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Navan,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3045 Park Boulevard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Palo Alto, California 94306</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(888) 505-8747</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17145</wp:posOffset>
            </wp:positionV>
            <wp:extent cx="1192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spacing w:after="0" w:line="282" w:lineRule="exact"/>
        <w:rPr>
          <w:sz w:val="24"/>
          <w:szCs w:val="24"/>
          <w:color w:val="auto"/>
        </w:rPr>
      </w:pPr>
    </w:p>
    <w:tbl>
      <w:tblPr>
        <w:tblLayout w:type="fixed"/>
        <w:tblInd w:w="178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4900" w:type="dxa"/>
            <w:vAlign w:val="bottom"/>
            <w:gridSpan w:val="2"/>
          </w:tcPr>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194"/>
        </w:trPr>
        <w:tc>
          <w:tcPr>
            <w:tcW w:w="2920" w:type="dxa"/>
            <w:vAlign w:val="bottom"/>
          </w:tcPr>
          <w:p>
            <w:pPr>
              <w:jc w:val="center"/>
              <w:ind w:right="814"/>
              <w:spacing w:after="0" w:line="194" w:lineRule="exact"/>
              <w:rPr>
                <w:sz w:val="20"/>
                <w:szCs w:val="20"/>
                <w:color w:val="auto"/>
              </w:rPr>
            </w:pPr>
            <w:r>
              <w:rPr>
                <w:rFonts w:ascii="Times New Roman" w:cs="Times New Roman" w:eastAsia="Times New Roman" w:hAnsi="Times New Roman"/>
                <w:sz w:val="17"/>
                <w:szCs w:val="17"/>
                <w:b w:val="1"/>
                <w:bCs w:val="1"/>
                <w:color w:val="auto"/>
              </w:rPr>
              <w:t>John T. McKenna</w:t>
            </w:r>
          </w:p>
        </w:tc>
        <w:tc>
          <w:tcPr>
            <w:tcW w:w="1860" w:type="dxa"/>
            <w:vAlign w:val="bottom"/>
          </w:tcPr>
          <w:p>
            <w:pPr>
              <w:spacing w:after="0"/>
              <w:rPr>
                <w:sz w:val="16"/>
                <w:szCs w:val="16"/>
                <w:color w:val="auto"/>
              </w:rPr>
            </w:pPr>
          </w:p>
        </w:tc>
        <w:tc>
          <w:tcPr>
            <w:tcW w:w="3040" w:type="dxa"/>
            <w:vAlign w:val="bottom"/>
          </w:tcPr>
          <w:p>
            <w:pPr>
              <w:jc w:val="center"/>
              <w:ind w:left="654"/>
              <w:spacing w:after="0" w:line="194" w:lineRule="exact"/>
              <w:rPr>
                <w:sz w:val="20"/>
                <w:szCs w:val="20"/>
                <w:color w:val="auto"/>
              </w:rPr>
            </w:pPr>
            <w:r>
              <w:rPr>
                <w:rFonts w:ascii="Times New Roman" w:cs="Times New Roman" w:eastAsia="Times New Roman" w:hAnsi="Times New Roman"/>
                <w:sz w:val="17"/>
                <w:szCs w:val="17"/>
                <w:b w:val="1"/>
                <w:bCs w:val="1"/>
                <w:color w:val="auto"/>
              </w:rPr>
              <w:t>Howard Baik</w:t>
            </w:r>
          </w:p>
        </w:tc>
      </w:tr>
      <w:tr>
        <w:trPr>
          <w:trHeight w:val="174"/>
        </w:trPr>
        <w:tc>
          <w:tcPr>
            <w:tcW w:w="2920" w:type="dxa"/>
            <w:vAlign w:val="bottom"/>
          </w:tcPr>
          <w:p>
            <w:pPr>
              <w:jc w:val="center"/>
              <w:ind w:right="814"/>
              <w:spacing w:after="0" w:line="174" w:lineRule="exact"/>
              <w:rPr>
                <w:sz w:val="20"/>
                <w:szCs w:val="20"/>
                <w:color w:val="auto"/>
              </w:rPr>
            </w:pPr>
            <w:r>
              <w:rPr>
                <w:rFonts w:ascii="Times New Roman" w:cs="Times New Roman" w:eastAsia="Times New Roman" w:hAnsi="Times New Roman"/>
                <w:sz w:val="17"/>
                <w:szCs w:val="17"/>
                <w:b w:val="1"/>
                <w:bCs w:val="1"/>
                <w:color w:val="auto"/>
              </w:rPr>
              <w:t>Rachel Proffitt</w:t>
            </w:r>
          </w:p>
        </w:tc>
        <w:tc>
          <w:tcPr>
            <w:tcW w:w="1860" w:type="dxa"/>
            <w:vAlign w:val="bottom"/>
          </w:tcPr>
          <w:p>
            <w:pPr>
              <w:spacing w:after="0"/>
              <w:rPr>
                <w:sz w:val="15"/>
                <w:szCs w:val="15"/>
                <w:color w:val="auto"/>
              </w:rPr>
            </w:pPr>
          </w:p>
        </w:tc>
        <w:tc>
          <w:tcPr>
            <w:tcW w:w="3040" w:type="dxa"/>
            <w:vAlign w:val="bottom"/>
          </w:tcPr>
          <w:p>
            <w:pPr>
              <w:jc w:val="center"/>
              <w:ind w:left="654"/>
              <w:spacing w:after="0" w:line="174" w:lineRule="exact"/>
              <w:rPr>
                <w:sz w:val="20"/>
                <w:szCs w:val="20"/>
                <w:color w:val="auto"/>
              </w:rPr>
            </w:pPr>
            <w:r>
              <w:rPr>
                <w:rFonts w:ascii="Times New Roman" w:cs="Times New Roman" w:eastAsia="Times New Roman" w:hAnsi="Times New Roman"/>
                <w:sz w:val="17"/>
                <w:szCs w:val="17"/>
                <w:b w:val="1"/>
                <w:bCs w:val="1"/>
                <w:color w:val="auto"/>
              </w:rPr>
              <w:t>General Counsel and Secretary</w:t>
            </w:r>
          </w:p>
        </w:tc>
      </w:tr>
      <w:tr>
        <w:trPr>
          <w:trHeight w:val="176"/>
        </w:trPr>
        <w:tc>
          <w:tcPr>
            <w:tcW w:w="2920" w:type="dxa"/>
            <w:vAlign w:val="bottom"/>
          </w:tcPr>
          <w:p>
            <w:pPr>
              <w:jc w:val="center"/>
              <w:ind w:right="814"/>
              <w:spacing w:after="0" w:line="176" w:lineRule="exact"/>
              <w:rPr>
                <w:sz w:val="20"/>
                <w:szCs w:val="20"/>
                <w:color w:val="auto"/>
              </w:rPr>
            </w:pPr>
            <w:r>
              <w:rPr>
                <w:rFonts w:ascii="Times New Roman" w:cs="Times New Roman" w:eastAsia="Times New Roman" w:hAnsi="Times New Roman"/>
                <w:sz w:val="17"/>
                <w:szCs w:val="17"/>
                <w:b w:val="1"/>
                <w:bCs w:val="1"/>
                <w:color w:val="auto"/>
                <w:w w:val="98"/>
              </w:rPr>
              <w:t>Jon C. Avina</w:t>
            </w:r>
          </w:p>
        </w:tc>
        <w:tc>
          <w:tcPr>
            <w:tcW w:w="1860" w:type="dxa"/>
            <w:vAlign w:val="bottom"/>
          </w:tcPr>
          <w:p>
            <w:pPr>
              <w:spacing w:after="0"/>
              <w:rPr>
                <w:sz w:val="15"/>
                <w:szCs w:val="15"/>
                <w:color w:val="auto"/>
              </w:rPr>
            </w:pPr>
          </w:p>
        </w:tc>
        <w:tc>
          <w:tcPr>
            <w:tcW w:w="3040" w:type="dxa"/>
            <w:vAlign w:val="bottom"/>
          </w:tcPr>
          <w:p>
            <w:pPr>
              <w:jc w:val="center"/>
              <w:ind w:left="654"/>
              <w:spacing w:after="0" w:line="176" w:lineRule="exact"/>
              <w:rPr>
                <w:sz w:val="20"/>
                <w:szCs w:val="20"/>
                <w:color w:val="auto"/>
              </w:rPr>
            </w:pPr>
            <w:r>
              <w:rPr>
                <w:rFonts w:ascii="Times New Roman" w:cs="Times New Roman" w:eastAsia="Times New Roman" w:hAnsi="Times New Roman"/>
                <w:sz w:val="17"/>
                <w:szCs w:val="17"/>
                <w:b w:val="1"/>
                <w:bCs w:val="1"/>
                <w:color w:val="auto"/>
              </w:rPr>
              <w:t>Navan, Inc.</w:t>
            </w:r>
          </w:p>
        </w:tc>
      </w:tr>
      <w:tr>
        <w:trPr>
          <w:trHeight w:val="168"/>
        </w:trPr>
        <w:tc>
          <w:tcPr>
            <w:tcW w:w="2920" w:type="dxa"/>
            <w:vAlign w:val="bottom"/>
          </w:tcPr>
          <w:p>
            <w:pPr>
              <w:jc w:val="center"/>
              <w:ind w:right="814"/>
              <w:spacing w:after="0" w:line="168" w:lineRule="exact"/>
              <w:rPr>
                <w:sz w:val="20"/>
                <w:szCs w:val="20"/>
                <w:color w:val="auto"/>
              </w:rPr>
            </w:pPr>
            <w:r>
              <w:rPr>
                <w:rFonts w:ascii="Times New Roman" w:cs="Times New Roman" w:eastAsia="Times New Roman" w:hAnsi="Times New Roman"/>
                <w:sz w:val="17"/>
                <w:szCs w:val="17"/>
                <w:b w:val="1"/>
                <w:bCs w:val="1"/>
                <w:color w:val="auto"/>
              </w:rPr>
              <w:t>Milson C. Yu</w:t>
            </w:r>
          </w:p>
        </w:tc>
        <w:tc>
          <w:tcPr>
            <w:tcW w:w="1860" w:type="dxa"/>
            <w:vAlign w:val="bottom"/>
          </w:tcPr>
          <w:p>
            <w:pPr>
              <w:spacing w:after="0"/>
              <w:rPr>
                <w:sz w:val="14"/>
                <w:szCs w:val="14"/>
                <w:color w:val="auto"/>
              </w:rPr>
            </w:pPr>
          </w:p>
        </w:tc>
        <w:tc>
          <w:tcPr>
            <w:tcW w:w="3040" w:type="dxa"/>
            <w:vAlign w:val="bottom"/>
          </w:tcPr>
          <w:p>
            <w:pPr>
              <w:jc w:val="center"/>
              <w:ind w:left="634"/>
              <w:spacing w:after="0" w:line="168" w:lineRule="exact"/>
              <w:rPr>
                <w:sz w:val="20"/>
                <w:szCs w:val="20"/>
                <w:color w:val="auto"/>
              </w:rPr>
            </w:pPr>
            <w:r>
              <w:rPr>
                <w:rFonts w:ascii="Times New Roman" w:cs="Times New Roman" w:eastAsia="Times New Roman" w:hAnsi="Times New Roman"/>
                <w:sz w:val="17"/>
                <w:szCs w:val="17"/>
                <w:b w:val="1"/>
                <w:bCs w:val="1"/>
                <w:color w:val="auto"/>
              </w:rPr>
              <w:t>3045 Park Boulevard</w:t>
            </w:r>
          </w:p>
        </w:tc>
      </w:tr>
      <w:tr>
        <w:trPr>
          <w:trHeight w:val="174"/>
        </w:trPr>
        <w:tc>
          <w:tcPr>
            <w:tcW w:w="2920" w:type="dxa"/>
            <w:vAlign w:val="bottom"/>
          </w:tcPr>
          <w:p>
            <w:pPr>
              <w:jc w:val="center"/>
              <w:ind w:right="814"/>
              <w:spacing w:after="0" w:line="174" w:lineRule="exact"/>
              <w:rPr>
                <w:sz w:val="20"/>
                <w:szCs w:val="20"/>
                <w:color w:val="auto"/>
              </w:rPr>
            </w:pPr>
            <w:r>
              <w:rPr>
                <w:rFonts w:ascii="Times New Roman" w:cs="Times New Roman" w:eastAsia="Times New Roman" w:hAnsi="Times New Roman"/>
                <w:sz w:val="17"/>
                <w:szCs w:val="17"/>
                <w:b w:val="1"/>
                <w:bCs w:val="1"/>
                <w:color w:val="auto"/>
                <w:w w:val="99"/>
              </w:rPr>
              <w:t>Jean Park</w:t>
            </w:r>
          </w:p>
        </w:tc>
        <w:tc>
          <w:tcPr>
            <w:tcW w:w="1860" w:type="dxa"/>
            <w:vAlign w:val="bottom"/>
          </w:tcPr>
          <w:p>
            <w:pPr>
              <w:spacing w:after="0"/>
              <w:rPr>
                <w:sz w:val="15"/>
                <w:szCs w:val="15"/>
                <w:color w:val="auto"/>
              </w:rPr>
            </w:pPr>
          </w:p>
        </w:tc>
        <w:tc>
          <w:tcPr>
            <w:tcW w:w="3040" w:type="dxa"/>
            <w:vAlign w:val="bottom"/>
          </w:tcPr>
          <w:p>
            <w:pPr>
              <w:jc w:val="center"/>
              <w:ind w:left="634"/>
              <w:spacing w:after="0" w:line="174" w:lineRule="exact"/>
              <w:rPr>
                <w:sz w:val="20"/>
                <w:szCs w:val="20"/>
                <w:color w:val="auto"/>
              </w:rPr>
            </w:pPr>
            <w:r>
              <w:rPr>
                <w:rFonts w:ascii="Times New Roman" w:cs="Times New Roman" w:eastAsia="Times New Roman" w:hAnsi="Times New Roman"/>
                <w:sz w:val="17"/>
                <w:szCs w:val="17"/>
                <w:b w:val="1"/>
                <w:bCs w:val="1"/>
                <w:color w:val="auto"/>
              </w:rPr>
              <w:t>Palo Alto, California 94306</w:t>
            </w:r>
          </w:p>
        </w:tc>
      </w:tr>
      <w:tr>
        <w:trPr>
          <w:trHeight w:val="176"/>
        </w:trPr>
        <w:tc>
          <w:tcPr>
            <w:tcW w:w="2920" w:type="dxa"/>
            <w:vAlign w:val="bottom"/>
          </w:tcPr>
          <w:p>
            <w:pPr>
              <w:jc w:val="center"/>
              <w:ind w:right="814"/>
              <w:spacing w:after="0" w:line="176" w:lineRule="exact"/>
              <w:rPr>
                <w:sz w:val="20"/>
                <w:szCs w:val="20"/>
                <w:color w:val="auto"/>
              </w:rPr>
            </w:pPr>
            <w:r>
              <w:rPr>
                <w:rFonts w:ascii="Times New Roman" w:cs="Times New Roman" w:eastAsia="Times New Roman" w:hAnsi="Times New Roman"/>
                <w:sz w:val="17"/>
                <w:szCs w:val="17"/>
                <w:b w:val="1"/>
                <w:bCs w:val="1"/>
                <w:color w:val="auto"/>
              </w:rPr>
              <w:t>Cooley LLP</w:t>
            </w:r>
          </w:p>
        </w:tc>
        <w:tc>
          <w:tcPr>
            <w:tcW w:w="4900" w:type="dxa"/>
            <w:vAlign w:val="bottom"/>
            <w:gridSpan w:val="2"/>
          </w:tcPr>
          <w:p>
            <w:pPr>
              <w:jc w:val="center"/>
              <w:ind w:left="2494"/>
              <w:spacing w:after="0" w:line="176" w:lineRule="exact"/>
              <w:rPr>
                <w:sz w:val="20"/>
                <w:szCs w:val="20"/>
                <w:color w:val="auto"/>
              </w:rPr>
            </w:pPr>
            <w:r>
              <w:rPr>
                <w:rFonts w:ascii="Times New Roman" w:cs="Times New Roman" w:eastAsia="Times New Roman" w:hAnsi="Times New Roman"/>
                <w:sz w:val="17"/>
                <w:szCs w:val="17"/>
                <w:b w:val="1"/>
                <w:bCs w:val="1"/>
                <w:color w:val="auto"/>
              </w:rPr>
              <w:t>(888) 505-8747</w:t>
            </w:r>
          </w:p>
        </w:tc>
      </w:tr>
      <w:tr>
        <w:trPr>
          <w:trHeight w:val="168"/>
        </w:trPr>
        <w:tc>
          <w:tcPr>
            <w:tcW w:w="2920" w:type="dxa"/>
            <w:vAlign w:val="bottom"/>
          </w:tcPr>
          <w:p>
            <w:pPr>
              <w:jc w:val="center"/>
              <w:ind w:right="814"/>
              <w:spacing w:after="0" w:line="168" w:lineRule="exact"/>
              <w:rPr>
                <w:sz w:val="20"/>
                <w:szCs w:val="20"/>
                <w:color w:val="auto"/>
              </w:rPr>
            </w:pPr>
            <w:r>
              <w:rPr>
                <w:rFonts w:ascii="Times New Roman" w:cs="Times New Roman" w:eastAsia="Times New Roman" w:hAnsi="Times New Roman"/>
                <w:sz w:val="17"/>
                <w:szCs w:val="17"/>
                <w:b w:val="1"/>
                <w:bCs w:val="1"/>
                <w:color w:val="auto"/>
              </w:rPr>
              <w:t>3175 Hanover Street</w:t>
            </w:r>
          </w:p>
        </w:tc>
        <w:tc>
          <w:tcPr>
            <w:tcW w:w="18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4"/>
        </w:trPr>
        <w:tc>
          <w:tcPr>
            <w:tcW w:w="2920" w:type="dxa"/>
            <w:vAlign w:val="bottom"/>
          </w:tcPr>
          <w:p>
            <w:pPr>
              <w:jc w:val="center"/>
              <w:ind w:right="834"/>
              <w:spacing w:after="0" w:line="174" w:lineRule="exact"/>
              <w:rPr>
                <w:sz w:val="20"/>
                <w:szCs w:val="20"/>
                <w:color w:val="auto"/>
              </w:rPr>
            </w:pPr>
            <w:r>
              <w:rPr>
                <w:rFonts w:ascii="Times New Roman" w:cs="Times New Roman" w:eastAsia="Times New Roman" w:hAnsi="Times New Roman"/>
                <w:sz w:val="17"/>
                <w:szCs w:val="17"/>
                <w:b w:val="1"/>
                <w:bCs w:val="1"/>
                <w:color w:val="auto"/>
              </w:rPr>
              <w:t>Palo Alto, California 94304</w:t>
            </w:r>
          </w:p>
        </w:tc>
        <w:tc>
          <w:tcPr>
            <w:tcW w:w="186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228"/>
        </w:trPr>
        <w:tc>
          <w:tcPr>
            <w:tcW w:w="2920" w:type="dxa"/>
            <w:vAlign w:val="bottom"/>
          </w:tcPr>
          <w:p>
            <w:pPr>
              <w:jc w:val="center"/>
              <w:ind w:right="834"/>
              <w:spacing w:after="0"/>
              <w:rPr>
                <w:sz w:val="20"/>
                <w:szCs w:val="20"/>
                <w:color w:val="auto"/>
              </w:rPr>
            </w:pPr>
            <w:r>
              <w:rPr>
                <w:rFonts w:ascii="Times New Roman" w:cs="Times New Roman" w:eastAsia="Times New Roman" w:hAnsi="Times New Roman"/>
                <w:sz w:val="17"/>
                <w:szCs w:val="17"/>
                <w:b w:val="1"/>
                <w:bCs w:val="1"/>
                <w:color w:val="auto"/>
              </w:rPr>
              <w:t>(650) 843-5000</w:t>
            </w:r>
          </w:p>
        </w:tc>
        <w:tc>
          <w:tcPr>
            <w:tcW w:w="186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6"/>
        </w:trPr>
        <w:tc>
          <w:tcPr>
            <w:tcW w:w="2920" w:type="dxa"/>
            <w:vAlign w:val="bottom"/>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3040" w:type="dxa"/>
            <w:vAlign w:val="bottom"/>
          </w:tcPr>
          <w:p>
            <w:pPr>
              <w:spacing w:after="0"/>
              <w:rPr>
                <w:sz w:val="10"/>
                <w:szCs w:val="10"/>
                <w:color w:val="auto"/>
              </w:rPr>
            </w:pPr>
          </w:p>
        </w:tc>
      </w:tr>
    </w:tbl>
    <w:p>
      <w:pPr>
        <w:spacing w:after="0" w:line="254"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p>
      <w:pPr>
        <w:ind w:left="4480"/>
        <w:spacing w:after="0"/>
        <w:tabs>
          <w:tab w:leader="none" w:pos="10780" w:val="left"/>
        </w:tabs>
        <w:rPr>
          <w:sz w:val="20"/>
          <w:szCs w:val="20"/>
          <w:color w:val="auto"/>
        </w:rPr>
      </w:pPr>
      <w:r>
        <w:rPr>
          <w:rFonts w:ascii="Wingdings" w:cs="Wingdings" w:eastAsia="Wingdings" w:hAnsi="Wingdings"/>
          <w:sz w:val="17"/>
          <w:szCs w:val="17"/>
          <w:b w:val="1"/>
          <w:bCs w:val="1"/>
          <w:color w:val="auto"/>
        </w:rPr>
        <w:t>o</w:t>
      </w:r>
      <w:r>
        <w:rPr>
          <w:sz w:val="20"/>
          <w:szCs w:val="20"/>
          <w:color w:val="auto"/>
        </w:rPr>
        <w:tab/>
      </w:r>
      <w:r>
        <w:rPr>
          <w:rFonts w:ascii="Wingdings" w:cs="Wingdings" w:eastAsia="Wingdings" w:hAnsi="Wingdings"/>
          <w:sz w:val="17"/>
          <w:szCs w:val="17"/>
          <w:b w:val="1"/>
          <w:bCs w:val="1"/>
          <w:color w:val="auto"/>
        </w:rPr>
        <w:t>o</w:t>
      </w:r>
    </w:p>
    <w:p>
      <w:pPr>
        <w:ind w:left="20"/>
        <w:spacing w:after="0"/>
        <w:tabs>
          <w:tab w:leader="none" w:pos="506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Times New Roman" w:cs="Times New Roman" w:eastAsia="Times New Roman" w:hAnsi="Times New Roman"/>
          <w:sz w:val="17"/>
          <w:szCs w:val="17"/>
          <w:color w:val="auto"/>
        </w:rPr>
        <w:t>Accelerated filer</w:t>
      </w:r>
    </w:p>
    <w:p>
      <w:pPr>
        <w:spacing w:after="0" w:line="30" w:lineRule="exact"/>
        <w:rPr>
          <w:sz w:val="24"/>
          <w:szCs w:val="24"/>
          <w:color w:val="auto"/>
        </w:rPr>
      </w:pPr>
    </w:p>
    <w:p>
      <w:pPr>
        <w:ind w:left="4480"/>
        <w:spacing w:after="0"/>
        <w:tabs>
          <w:tab w:leader="none" w:pos="10780" w:val="left"/>
        </w:tabs>
        <w:rPr>
          <w:sz w:val="20"/>
          <w:szCs w:val="20"/>
          <w:color w:val="auto"/>
        </w:rPr>
      </w:pPr>
      <w:r>
        <w:rPr>
          <w:rFonts w:ascii="Wingdings" w:cs="Wingdings" w:eastAsia="Wingdings" w:hAnsi="Wingdings"/>
          <w:sz w:val="17"/>
          <w:szCs w:val="17"/>
          <w:b w:val="1"/>
          <w:bCs w:val="1"/>
          <w:color w:val="auto"/>
        </w:rPr>
        <w:t>x</w:t>
      </w:r>
      <w:r>
        <w:rPr>
          <w:sz w:val="20"/>
          <w:szCs w:val="20"/>
          <w:color w:val="auto"/>
        </w:rPr>
        <w:tab/>
      </w:r>
      <w:r>
        <w:rPr>
          <w:rFonts w:ascii="Wingdings" w:cs="Wingdings" w:eastAsia="Wingdings" w:hAnsi="Wingdings"/>
          <w:sz w:val="17"/>
          <w:szCs w:val="17"/>
          <w:b w:val="1"/>
          <w:bCs w:val="1"/>
          <w:color w:val="auto"/>
        </w:rPr>
        <w:t>o</w:t>
      </w:r>
    </w:p>
    <w:p>
      <w:pPr>
        <w:ind w:left="20"/>
        <w:spacing w:after="0"/>
        <w:tabs>
          <w:tab w:leader="none" w:pos="506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30" w:lineRule="exact"/>
        <w:rPr>
          <w:sz w:val="24"/>
          <w:szCs w:val="24"/>
          <w:color w:val="auto"/>
        </w:rPr>
      </w:pPr>
    </w:p>
    <w:p>
      <w:pPr>
        <w:ind w:left="10800"/>
        <w:spacing w:after="0"/>
        <w:rPr>
          <w:sz w:val="20"/>
          <w:szCs w:val="20"/>
          <w:color w:val="auto"/>
        </w:rPr>
      </w:pPr>
      <w:r>
        <w:rPr>
          <w:rFonts w:ascii="Wingdings" w:cs="Wingdings" w:eastAsia="Wingdings" w:hAnsi="Wingdings"/>
          <w:sz w:val="17"/>
          <w:szCs w:val="17"/>
          <w:b w:val="1"/>
          <w:bCs w:val="1"/>
          <w:color w:val="auto"/>
        </w:rPr>
        <w:t>x</w:t>
      </w:r>
    </w:p>
    <w:p>
      <w:pPr>
        <w:ind w:left="50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38" w:lineRule="exact"/>
        <w:rPr>
          <w:sz w:val="24"/>
          <w:szCs w:val="24"/>
          <w:color w:val="auto"/>
        </w:rPr>
      </w:pPr>
    </w:p>
    <w:p>
      <w:pPr>
        <w:ind w:right="440"/>
        <w:spacing w:after="0" w:line="291"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Wingdings" w:cs="Wingdings" w:eastAsia="Wingdings" w:hAnsi="Wingdings"/>
          <w:sz w:val="17"/>
          <w:szCs w:val="17"/>
          <w:b w:val="1"/>
          <w:bCs w:val="1"/>
          <w:color w:val="auto"/>
        </w:rPr>
        <w:t>o</w:t>
      </w:r>
    </w:p>
    <w:p>
      <w:pPr>
        <w:sectPr>
          <w:pgSz w:w="11900" w:h="16838" w:orient="portrait"/>
          <w:cols w:equalWidth="0" w:num="1">
            <w:col w:w="11240"/>
          </w:cols>
          <w:pgMar w:left="320" w:top="609" w:right="339" w:bottom="1440" w:gutter="0" w:footer="0" w:header="0"/>
        </w:sectPr>
      </w:pPr>
    </w:p>
    <w:bookmarkStart w:id="1" w:name="page2"/>
    <w:bookmarkEnd w:id="1"/>
    <w:p>
      <w:pPr>
        <w:spacing w:after="0" w:line="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information called for by Part I of Form S-8 is omitted from this Registration Statement in accordance with Rule 428 under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I-1</w:t>
      </w:r>
    </w:p>
    <w:p>
      <w:pPr>
        <w:sectPr>
          <w:pgSz w:w="11900" w:h="16838" w:orient="portrait"/>
          <w:cols w:equalWidth="0" w:num="1">
            <w:col w:w="11020"/>
          </w:cols>
          <w:pgMar w:left="320" w:top="1440" w:right="559" w:bottom="1440" w:gutter="0" w:footer="0" w:header="0"/>
        </w:sectPr>
      </w:pPr>
    </w:p>
    <w:bookmarkStart w:id="2" w:name="page3"/>
    <w:bookmarkEnd w:id="2"/>
    <w:p>
      <w:pPr>
        <w:spacing w:after="0" w:line="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INFORMATION REQUIRED IN REGISTRATION 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Incorporation of Certain Documents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filed by Navan, Inc. (the “Registrant”) with the Commission are incorporated by reference into this Registration Statement:</w:t>
      </w:r>
    </w:p>
    <w:p>
      <w:pPr>
        <w:spacing w:after="0" w:line="167" w:lineRule="exact"/>
        <w:rPr>
          <w:sz w:val="20"/>
          <w:szCs w:val="20"/>
          <w:color w:val="auto"/>
        </w:rPr>
      </w:pPr>
    </w:p>
    <w:p>
      <w:pPr>
        <w:ind w:left="620" w:right="60" w:hanging="306"/>
        <w:spacing w:after="0" w:line="291" w:lineRule="auto"/>
        <w:tabs>
          <w:tab w:leader="none" w:pos="61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 No. 1 to the Registrant’s Registration Statement on Form S-1 filed with the Commission on </w:t>
      </w:r>
      <w:hyperlink r:id="rId14">
        <w:r>
          <w:rPr>
            <w:rFonts w:ascii="Times New Roman" w:cs="Times New Roman" w:eastAsia="Times New Roman" w:hAnsi="Times New Roman"/>
            <w:sz w:val="17"/>
            <w:szCs w:val="17"/>
            <w:u w:val="single" w:color="auto"/>
            <w:color w:val="0000FF"/>
          </w:rPr>
          <w:t>October 10, 2025</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333-290396), which contains the audited financial statements for the Registrant’s latest fiscal year for which such statements have been filed.</w:t>
      </w:r>
    </w:p>
    <w:p>
      <w:pPr>
        <w:spacing w:after="0" w:line="95" w:lineRule="exact"/>
        <w:rPr>
          <w:rFonts w:ascii="Times New Roman" w:cs="Times New Roman" w:eastAsia="Times New Roman" w:hAnsi="Times New Roman"/>
          <w:sz w:val="17"/>
          <w:szCs w:val="17"/>
          <w:color w:val="auto"/>
        </w:rPr>
      </w:pPr>
    </w:p>
    <w:p>
      <w:pPr>
        <w:ind w:left="620" w:right="20" w:hanging="306"/>
        <w:spacing w:after="0" w:line="291" w:lineRule="auto"/>
        <w:tabs>
          <w:tab w:leader="none" w:pos="611"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Registrant’s Prospectus filed with the Commission on October 30, 2025 pursuant to Rule 424(b) under the Securities Act, relating to the Registration Statement on Form S-1, as amended (File No. 333-290396).</w:t>
      </w:r>
    </w:p>
    <w:p>
      <w:pPr>
        <w:spacing w:after="0" w:line="95" w:lineRule="exact"/>
        <w:rPr>
          <w:rFonts w:ascii="Times New Roman" w:cs="Times New Roman" w:eastAsia="Times New Roman" w:hAnsi="Times New Roman"/>
          <w:sz w:val="17"/>
          <w:szCs w:val="17"/>
          <w:b w:val="1"/>
          <w:bCs w:val="1"/>
          <w:color w:val="auto"/>
        </w:rPr>
      </w:pPr>
    </w:p>
    <w:p>
      <w:pPr>
        <w:jc w:val="both"/>
        <w:ind w:left="620" w:right="380" w:hanging="306"/>
        <w:spacing w:after="0" w:line="273" w:lineRule="auto"/>
        <w:tabs>
          <w:tab w:leader="none" w:pos="61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Class A common stock, which is contained in the Registrant’s Registration Statement on </w:t>
      </w:r>
      <w:hyperlink r:id="rId15">
        <w:r>
          <w:rPr>
            <w:rFonts w:ascii="Times New Roman" w:cs="Times New Roman" w:eastAsia="Times New Roman" w:hAnsi="Times New Roman"/>
            <w:sz w:val="17"/>
            <w:szCs w:val="17"/>
            <w:u w:val="single" w:color="auto"/>
            <w:color w:val="0000FF"/>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with the Commission on October 28, 2025, as amended (File No. 001-42922) under the Securities Exchange Act of 1934, as amended (the “Exchange Act”), including any amendment or report filed for the purpose of updating such description.</w:t>
      </w:r>
    </w:p>
    <w:p>
      <w:pPr>
        <w:spacing w:after="0" w:line="109" w:lineRule="exact"/>
        <w:rPr>
          <w:rFonts w:ascii="Times New Roman" w:cs="Times New Roman" w:eastAsia="Times New Roman" w:hAnsi="Times New Roman"/>
          <w:sz w:val="17"/>
          <w:szCs w:val="17"/>
          <w:color w:val="auto"/>
        </w:rPr>
      </w:pPr>
    </w:p>
    <w:p>
      <w:pPr>
        <w:ind w:left="620" w:hanging="306"/>
        <w:spacing w:after="0" w:line="259" w:lineRule="auto"/>
        <w:tabs>
          <w:tab w:leader="none" w:pos="611"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other reports and documents subsequently filed by the Registrant pursuant to Sections 13(a), 13(c), 14 and 15(d) of the Exchange Act (other than Current Reports on Form 8-K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1"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69"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5"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69"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65" w:lineRule="exact"/>
        <w:rPr>
          <w:rFonts w:ascii="Times New Roman" w:cs="Times New Roman" w:eastAsia="Times New Roman" w:hAnsi="Times New Roman"/>
          <w:sz w:val="17"/>
          <w:szCs w:val="17"/>
          <w:b w:val="1"/>
          <w:bCs w:val="1"/>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69" w:lineRule="exact"/>
        <w:rPr>
          <w:rFonts w:ascii="Times New Roman" w:cs="Times New Roman" w:eastAsia="Times New Roman" w:hAnsi="Times New Roman"/>
          <w:sz w:val="17"/>
          <w:szCs w:val="17"/>
          <w:b w:val="1"/>
          <w:bCs w:val="1"/>
          <w:color w:val="auto"/>
        </w:rPr>
      </w:pPr>
    </w:p>
    <w:p>
      <w:pPr>
        <w:ind w:right="400"/>
        <w:spacing w:after="0" w:line="273" w:lineRule="auto"/>
        <w:rPr>
          <w:sz w:val="20"/>
          <w:szCs w:val="20"/>
          <w:color w:val="auto"/>
        </w:rPr>
      </w:pPr>
      <w:r>
        <w:rPr>
          <w:rFonts w:ascii="Times New Roman" w:cs="Times New Roman" w:eastAsia="Times New Roman" w:hAnsi="Times New Roman"/>
          <w:sz w:val="17"/>
          <w:szCs w:val="17"/>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10" w:lineRule="exact"/>
        <w:rPr>
          <w:rFonts w:ascii="Times New Roman" w:cs="Times New Roman" w:eastAsia="Times New Roman" w:hAnsi="Times New Roman"/>
          <w:sz w:val="17"/>
          <w:szCs w:val="17"/>
          <w:b w:val="1"/>
          <w:bCs w:val="1"/>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As permitted by the DGCL, the Registrant’s amended and restated certificate of incorporation to be effective upon the completion of the Registrant’s initial public offering contains provisions that eliminate the personal liability of its directors and officers for monetary damages for any breach of fiduciary duties as a director or officer, except liability for the following:</w:t>
      </w:r>
    </w:p>
    <w:p>
      <w:pPr>
        <w:spacing w:after="0" w:line="110" w:lineRule="exact"/>
        <w:rPr>
          <w:rFonts w:ascii="Times New Roman" w:cs="Times New Roman" w:eastAsia="Times New Roman" w:hAnsi="Times New Roman"/>
          <w:sz w:val="17"/>
          <w:szCs w:val="17"/>
          <w:b w:val="1"/>
          <w:bCs w:val="1"/>
          <w:color w:val="auto"/>
        </w:rPr>
      </w:pPr>
    </w:p>
    <w:p>
      <w:pPr>
        <w:ind w:left="620" w:hanging="306"/>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or officers’ duty of loyalty to the Registrant or its stockholders;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acts or omissions not in good faith or that involve intentional misconduct or a knowing violation of law;</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48" w:lineRule="exact"/>
        <w:rPr>
          <w:rFonts w:ascii="Times New Roman" w:cs="Times New Roman" w:eastAsia="Times New Roman" w:hAnsi="Times New Roman"/>
          <w:sz w:val="17"/>
          <w:szCs w:val="17"/>
          <w:b w:val="1"/>
          <w:bCs w:val="1"/>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1240"/>
          </w:cols>
          <w:pgMar w:left="320" w:top="1440" w:right="339" w:bottom="1440" w:gutter="0" w:footer="0" w:header="0"/>
        </w:sectPr>
      </w:pPr>
    </w:p>
    <w:bookmarkStart w:id="3" w:name="page4"/>
    <w:bookmarkEnd w:id="3"/>
    <w:p>
      <w:pPr>
        <w:spacing w:after="0" w:line="80" w:lineRule="exact"/>
        <w:rPr>
          <w:sz w:val="20"/>
          <w:szCs w:val="20"/>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Section 174 of the DGCL (regarding unlawful dividends and stock purchases);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or officer derived an improper personal benefit; and</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officers, any action by or in the right of the corporation.</w:t>
      </w:r>
    </w:p>
    <w:p>
      <w:pPr>
        <w:spacing w:after="0" w:line="167"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color w:val="auto"/>
        </w:rPr>
        <w:t>As permitted by the DGCL, the Registrant’s amended and restated bylaws to be effective upon the completion of the Registrant’s initial public offering, provide that:</w:t>
      </w:r>
    </w:p>
    <w:p>
      <w:pPr>
        <w:spacing w:after="0" w:line="96" w:lineRule="exact"/>
        <w:rPr>
          <w:sz w:val="20"/>
          <w:szCs w:val="20"/>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is required to indemnify its directors and executive officers to the fullest extent permitted by the DGCL, subject to very limited exceptions;</w:t>
      </w:r>
    </w:p>
    <w:p>
      <w:pPr>
        <w:spacing w:after="0" w:line="16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may indemnify its other employees and agents as set forth in the DGCL;</w:t>
      </w:r>
    </w:p>
    <w:p>
      <w:pPr>
        <w:spacing w:after="0" w:line="167" w:lineRule="exact"/>
        <w:rPr>
          <w:rFonts w:ascii="Times New Roman" w:cs="Times New Roman" w:eastAsia="Times New Roman" w:hAnsi="Times New Roman"/>
          <w:sz w:val="17"/>
          <w:szCs w:val="17"/>
          <w:color w:val="auto"/>
        </w:rPr>
      </w:pPr>
    </w:p>
    <w:p>
      <w:pPr>
        <w:ind w:left="620" w:right="380" w:hanging="306"/>
        <w:spacing w:after="0" w:line="291"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95"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conferred in the amended and restated bylaws are not exclusive.</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Registrant has entered into indemnification agreements with each of its then-current directors and executive officers to provide these directors and executive officers additional contractual assurances regarding the scope of the indemnification set forth in its amended and restated certificate of incorporation and amended and restated bylaws, each to be effective upon the completion of the Registrant’s initial public offering, and to provide additional procedural protections. There is no pending litigation or proceeding involving a director or executive officer of the Registrant for which indemnification is sought. The indemnification provisions in its amended and restated certificate of incorporation, amended and restated bylaws and the indemnification agreements entered into or to be entered into between the Registrant and each of its directors and executive officers may be sufficiently broad to permit indemnification of the directors and executive officers for liabilities arising under the Securities Act.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currently carries liability insurance for its directors and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of the Registrant’s directors are also indemnified by their employers with regard to service on the Registrant’s board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Exemption from Registration Claimed.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ectPr>
          <w:pgSz w:w="11900" w:h="16838" w:orient="portrait"/>
          <w:cols w:equalWidth="0" w:num="1">
            <w:col w:w="11220"/>
          </w:cols>
          <w:pgMar w:left="320" w:top="1440" w:right="359" w:bottom="1440" w:gutter="0" w:footer="0" w:header="0"/>
        </w:sectPr>
      </w:pPr>
    </w:p>
    <w:bookmarkStart w:id="4" w:name="page5"/>
    <w:bookmarkEnd w:id="4"/>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4"/>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12"/>
          </w:tcPr>
          <w:p>
            <w:pPr>
              <w:ind w:left="3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7"/>
        </w:trPr>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gridSpan w:val="18"/>
          </w:tcPr>
          <w:p>
            <w:pPr>
              <w:spacing w:after="0"/>
              <w:rPr>
                <w:rFonts w:ascii="Times New Roman" w:cs="Times New Roman" w:eastAsia="Times New Roman" w:hAnsi="Times New Roman"/>
                <w:sz w:val="16"/>
                <w:szCs w:val="16"/>
                <w:color w:val="0000FF"/>
                <w:w w:val="97"/>
              </w:rPr>
            </w:pPr>
            <w:hyperlink r:id="rId16">
              <w:r>
                <w:rPr>
                  <w:rFonts w:ascii="Times New Roman" w:cs="Times New Roman" w:eastAsia="Times New Roman" w:hAnsi="Times New Roman"/>
                  <w:sz w:val="16"/>
                  <w:szCs w:val="16"/>
                  <w:color w:val="0000FF"/>
                  <w:w w:val="97"/>
                </w:rPr>
                <w:t>Amended and Restated Certificate of Incorporation of the Registrant,</w:t>
              </w:r>
            </w:hyperlink>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4"/>
                <w:szCs w:val="14"/>
                <w:color w:val="0000FF"/>
              </w:rPr>
            </w:pPr>
            <w:hyperlink r:id="rId16">
              <w:r>
                <w:rPr>
                  <w:rFonts w:ascii="Times New Roman" w:cs="Times New Roman" w:eastAsia="Times New Roman" w:hAnsi="Times New Roman"/>
                  <w:sz w:val="14"/>
                  <w:szCs w:val="14"/>
                  <w:color w:val="0000FF"/>
                </w:rPr>
                <w:t>as currently in effect.</w:t>
              </w:r>
            </w:hyperlink>
          </w:p>
        </w:tc>
        <w:tc>
          <w:tcPr>
            <w:tcW w:w="2980" w:type="dxa"/>
            <w:vAlign w:val="bottom"/>
            <w:tcBorders>
              <w:top w:val="single" w:sz="8" w:color="0000FF"/>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8"/>
          </w:tcPr>
          <w:p>
            <w:pPr>
              <w:spacing w:after="0"/>
              <w:rPr>
                <w:rFonts w:ascii="Times New Roman" w:cs="Times New Roman" w:eastAsia="Times New Roman" w:hAnsi="Times New Roman"/>
                <w:sz w:val="16"/>
                <w:szCs w:val="16"/>
                <w:color w:val="0000FF"/>
              </w:rPr>
            </w:pPr>
            <w:hyperlink r:id="rId17">
              <w:r>
                <w:rPr>
                  <w:rFonts w:ascii="Times New Roman" w:cs="Times New Roman" w:eastAsia="Times New Roman" w:hAnsi="Times New Roman"/>
                  <w:sz w:val="16"/>
                  <w:szCs w:val="16"/>
                  <w:color w:val="0000FF"/>
                </w:rPr>
                <w:t>Form of Amended and Restated Certificate of Incorporation of the</w:t>
              </w:r>
            </w:hyperlink>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40" w:type="dxa"/>
            <w:vAlign w:val="bottom"/>
            <w:tcBorders>
              <w:top w:val="single" w:sz="8" w:color="0000FF"/>
            </w:tcBorders>
            <w:gridSpan w:val="14"/>
          </w:tcPr>
          <w:p>
            <w:pPr>
              <w:spacing w:after="0" w:line="135" w:lineRule="exact"/>
              <w:rPr>
                <w:rFonts w:ascii="Times New Roman" w:cs="Times New Roman" w:eastAsia="Times New Roman" w:hAnsi="Times New Roman"/>
                <w:sz w:val="14"/>
                <w:szCs w:val="14"/>
                <w:color w:val="0000FF"/>
              </w:rPr>
            </w:pPr>
            <w:hyperlink r:id="rId17">
              <w:r>
                <w:rPr>
                  <w:rFonts w:ascii="Times New Roman" w:cs="Times New Roman" w:eastAsia="Times New Roman" w:hAnsi="Times New Roman"/>
                  <w:sz w:val="14"/>
                  <w:szCs w:val="14"/>
                  <w:color w:val="0000FF"/>
                </w:rPr>
                <w:t>Registrant, to be in effect upon the completion of the Registrant’s</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tcBorders>
              <w:top w:val="single" w:sz="8" w:color="0000FF"/>
            </w:tcBorders>
            <w:gridSpan w:val="12"/>
          </w:tcPr>
          <w:p>
            <w:pPr>
              <w:spacing w:after="0" w:line="135" w:lineRule="exact"/>
              <w:rPr>
                <w:rFonts w:ascii="Times New Roman" w:cs="Times New Roman" w:eastAsia="Times New Roman" w:hAnsi="Times New Roman"/>
                <w:sz w:val="14"/>
                <w:szCs w:val="14"/>
                <w:color w:val="0000FF"/>
              </w:rPr>
            </w:pPr>
            <w:hyperlink r:id="rId17">
              <w:r>
                <w:rPr>
                  <w:rFonts w:ascii="Times New Roman" w:cs="Times New Roman" w:eastAsia="Times New Roman" w:hAnsi="Times New Roman"/>
                  <w:sz w:val="14"/>
                  <w:szCs w:val="14"/>
                  <w:color w:val="0000FF"/>
                </w:rPr>
                <w:t>initial public offering.</w:t>
              </w:r>
            </w:hyperlink>
          </w:p>
        </w:tc>
        <w:tc>
          <w:tcPr>
            <w:tcW w:w="4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8"/>
          </w:tcPr>
          <w:p>
            <w:pPr>
              <w:spacing w:after="0"/>
              <w:rPr>
                <w:rFonts w:ascii="Times New Roman" w:cs="Times New Roman" w:eastAsia="Times New Roman" w:hAnsi="Times New Roman"/>
                <w:sz w:val="16"/>
                <w:szCs w:val="16"/>
                <w:color w:val="0000FF"/>
              </w:rPr>
            </w:pPr>
            <w:hyperlink r:id="rId18">
              <w:r>
                <w:rPr>
                  <w:rFonts w:ascii="Times New Roman" w:cs="Times New Roman" w:eastAsia="Times New Roman" w:hAnsi="Times New Roman"/>
                  <w:sz w:val="16"/>
                  <w:szCs w:val="16"/>
                  <w:color w:val="0000FF"/>
                </w:rPr>
                <w:t>Amended and Restated Bylaws of the Registrant, as currently in</w:t>
              </w:r>
            </w:hyperlink>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0000FF"/>
              <w:bottom w:val="single" w:sz="8" w:color="0000FF"/>
            </w:tcBorders>
          </w:tcPr>
          <w:p>
            <w:pPr>
              <w:spacing w:after="0" w:line="135" w:lineRule="exact"/>
              <w:rPr>
                <w:rFonts w:ascii="Times New Roman" w:cs="Times New Roman" w:eastAsia="Times New Roman" w:hAnsi="Times New Roman"/>
                <w:sz w:val="14"/>
                <w:szCs w:val="14"/>
                <w:color w:val="0000FF"/>
              </w:rPr>
            </w:pPr>
            <w:hyperlink r:id="rId18">
              <w:r>
                <w:rPr>
                  <w:rFonts w:ascii="Times New Roman" w:cs="Times New Roman" w:eastAsia="Times New Roman" w:hAnsi="Times New Roman"/>
                  <w:sz w:val="14"/>
                  <w:szCs w:val="14"/>
                  <w:color w:val="0000FF"/>
                </w:rPr>
                <w:t>effect.</w:t>
              </w:r>
            </w:hyperlink>
          </w:p>
        </w:tc>
        <w:tc>
          <w:tcPr>
            <w:tcW w:w="360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20" w:type="dxa"/>
            <w:vAlign w:val="bottom"/>
            <w:tcBorders>
              <w:bottom w:val="single" w:sz="8" w:color="0000FF"/>
            </w:tcBorders>
            <w:gridSpan w:val="13"/>
          </w:tcPr>
          <w:p>
            <w:pPr>
              <w:spacing w:after="0"/>
              <w:rPr>
                <w:rFonts w:ascii="Times New Roman" w:cs="Times New Roman" w:eastAsia="Times New Roman" w:hAnsi="Times New Roman"/>
                <w:sz w:val="16"/>
                <w:szCs w:val="16"/>
                <w:color w:val="0000FF"/>
                <w:w w:val="96"/>
              </w:rPr>
            </w:pPr>
            <w:hyperlink r:id="rId19">
              <w:r>
                <w:rPr>
                  <w:rFonts w:ascii="Times New Roman" w:cs="Times New Roman" w:eastAsia="Times New Roman" w:hAnsi="Times New Roman"/>
                  <w:sz w:val="16"/>
                  <w:szCs w:val="16"/>
                  <w:color w:val="0000FF"/>
                  <w:w w:val="96"/>
                </w:rPr>
                <w:t>Form of Amended and Restated Bylaws of the Registrant, to be in</w:t>
              </w:r>
            </w:hyperlink>
          </w:p>
        </w:tc>
        <w:tc>
          <w:tcPr>
            <w:tcW w:w="220" w:type="dxa"/>
            <w:vAlign w:val="bottom"/>
            <w:gridSpan w:val="5"/>
          </w:tcPr>
          <w:p>
            <w:pPr>
              <w:spacing w:after="0"/>
              <w:rPr>
                <w:sz w:val="20"/>
                <w:szCs w:val="20"/>
                <w:color w:val="auto"/>
              </w:rPr>
            </w:pPr>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60" w:type="dxa"/>
            <w:vAlign w:val="bottom"/>
            <w:tcBorders>
              <w:bottom w:val="single" w:sz="8" w:color="0000FF"/>
            </w:tcBorders>
            <w:gridSpan w:val="15"/>
          </w:tcPr>
          <w:p>
            <w:pPr>
              <w:spacing w:after="0" w:line="135" w:lineRule="exact"/>
              <w:rPr>
                <w:rFonts w:ascii="Times New Roman" w:cs="Times New Roman" w:eastAsia="Times New Roman" w:hAnsi="Times New Roman"/>
                <w:sz w:val="14"/>
                <w:szCs w:val="14"/>
                <w:color w:val="0000FF"/>
              </w:rPr>
            </w:pPr>
            <w:hyperlink r:id="rId19">
              <w:r>
                <w:rPr>
                  <w:rFonts w:ascii="Times New Roman" w:cs="Times New Roman" w:eastAsia="Times New Roman" w:hAnsi="Times New Roman"/>
                  <w:sz w:val="14"/>
                  <w:szCs w:val="14"/>
                  <w:color w:val="0000FF"/>
                </w:rPr>
                <w:t>effect upon the completion of the Registrant’s initial public offering.</w:t>
              </w:r>
            </w:hyperlink>
          </w:p>
        </w:tc>
        <w:tc>
          <w:tcPr>
            <w:tcW w:w="80" w:type="dxa"/>
            <w:vAlign w:val="bottom"/>
            <w:gridSpan w:val="3"/>
          </w:tcPr>
          <w:p>
            <w:pPr>
              <w:spacing w:after="0"/>
              <w:rPr>
                <w:sz w:val="11"/>
                <w:szCs w:val="1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6"/>
              </w:rPr>
            </w:pPr>
            <w:hyperlink r:id="rId20">
              <w:r>
                <w:rPr>
                  <w:rFonts w:ascii="Times New Roman" w:cs="Times New Roman" w:eastAsia="Times New Roman" w:hAnsi="Times New Roman"/>
                  <w:sz w:val="16"/>
                  <w:szCs w:val="16"/>
                  <w:color w:val="0000FF"/>
                  <w:w w:val="96"/>
                </w:rPr>
                <w:t>Form of Class A Common Stock Certificate of the Registrant.</w:t>
              </w:r>
            </w:hyperlink>
          </w:p>
        </w:tc>
        <w:tc>
          <w:tcPr>
            <w:tcW w:w="480" w:type="dxa"/>
            <w:vAlign w:val="bottom"/>
            <w:gridSpan w:val="10"/>
          </w:tcPr>
          <w:p>
            <w:pPr>
              <w:spacing w:after="0"/>
              <w:rPr>
                <w:sz w:val="20"/>
                <w:szCs w:val="20"/>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Opinion of Cooley LLP.</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Consent of Cooley LLP (included in Exhibit 5.1).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Consent of PricewaterhouseCoopers LLP, independent registered</w:t>
            </w:r>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tcBorders>
              <w:top w:val="single" w:sz="8" w:color="0000FF"/>
              <w:bottom w:val="single" w:sz="8" w:color="0000FF"/>
            </w:tcBorders>
            <w:gridSpan w:val="6"/>
          </w:tcPr>
          <w:p>
            <w:pPr>
              <w:spacing w:after="0" w:line="135" w:lineRule="exact"/>
              <w:rPr>
                <w:sz w:val="20"/>
                <w:szCs w:val="20"/>
                <w:color w:val="auto"/>
              </w:rPr>
            </w:pPr>
            <w:r>
              <w:rPr>
                <w:rFonts w:ascii="Times New Roman" w:cs="Times New Roman" w:eastAsia="Times New Roman" w:hAnsi="Times New Roman"/>
                <w:sz w:val="14"/>
                <w:szCs w:val="14"/>
                <w:color w:val="0000FF"/>
              </w:rPr>
              <w:t>public accounting firm.</w:t>
            </w:r>
          </w:p>
        </w:tc>
        <w:tc>
          <w:tcPr>
            <w:tcW w:w="2560" w:type="dxa"/>
            <w:vAlign w:val="bottom"/>
            <w:tcBorders>
              <w:top w:val="single" w:sz="8" w:color="0000FF"/>
            </w:tcBorders>
            <w:gridSpan w:val="5"/>
          </w:tcPr>
          <w:p>
            <w:pPr>
              <w:spacing w:after="0"/>
              <w:rPr>
                <w:sz w:val="11"/>
                <w:szCs w:val="11"/>
                <w:color w:val="auto"/>
              </w:rPr>
            </w:pPr>
          </w:p>
        </w:tc>
        <w:tc>
          <w:tcPr>
            <w:tcW w:w="60" w:type="dxa"/>
            <w:vAlign w:val="bottom"/>
            <w:gridSpan w:val="2"/>
          </w:tcPr>
          <w:p>
            <w:pPr>
              <w:spacing w:after="0"/>
              <w:rPr>
                <w:sz w:val="11"/>
                <w:szCs w:val="11"/>
                <w:color w:val="auto"/>
              </w:rPr>
            </w:pPr>
          </w:p>
        </w:tc>
        <w:tc>
          <w:tcPr>
            <w:tcW w:w="1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w w:val="97"/>
              </w:rPr>
              <w:t>Power of Attorney (included on the signature page of this Form S-8).</w:t>
            </w: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tcBorders>
              <w:top w:val="single" w:sz="8" w:color="0000FF"/>
            </w:tcBorders>
            <w:gridSpan w:val="16"/>
          </w:tcPr>
          <w:p>
            <w:pPr>
              <w:spacing w:after="0"/>
              <w:rPr>
                <w:rFonts w:ascii="Times New Roman" w:cs="Times New Roman" w:eastAsia="Times New Roman" w:hAnsi="Times New Roman"/>
                <w:sz w:val="16"/>
                <w:szCs w:val="16"/>
                <w:color w:val="0000FF"/>
              </w:rPr>
            </w:pPr>
            <w:hyperlink r:id="rId21">
              <w:r>
                <w:rPr>
                  <w:rFonts w:ascii="Times New Roman" w:cs="Times New Roman" w:eastAsia="Times New Roman" w:hAnsi="Times New Roman"/>
                  <w:sz w:val="16"/>
                  <w:szCs w:val="16"/>
                  <w:color w:val="0000FF"/>
                </w:rPr>
                <w:t>Navan, Inc. 2015 Equity Incentive Plan, as amended, and related</w:t>
              </w:r>
            </w:hyperlink>
          </w:p>
        </w:tc>
        <w:tc>
          <w:tcPr>
            <w:tcW w:w="40" w:type="dxa"/>
            <w:vAlign w:val="bottom"/>
            <w:gridSpan w:val="2"/>
          </w:tcPr>
          <w:p>
            <w:pPr>
              <w:spacing w:after="0"/>
              <w:rPr>
                <w:sz w:val="20"/>
                <w:szCs w:val="20"/>
                <w:color w:val="auto"/>
              </w:rPr>
            </w:pPr>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20" w:type="dxa"/>
            <w:vAlign w:val="bottom"/>
            <w:tcBorders>
              <w:top w:val="single" w:sz="8" w:color="0000FF"/>
            </w:tcBorders>
            <w:gridSpan w:val="10"/>
          </w:tcPr>
          <w:p>
            <w:pPr>
              <w:spacing w:after="0" w:line="135" w:lineRule="exact"/>
              <w:rPr>
                <w:rFonts w:ascii="Times New Roman" w:cs="Times New Roman" w:eastAsia="Times New Roman" w:hAnsi="Times New Roman"/>
                <w:sz w:val="14"/>
                <w:szCs w:val="14"/>
                <w:color w:val="0000FF"/>
              </w:rPr>
            </w:pPr>
            <w:hyperlink r:id="rId21">
              <w:r>
                <w:rPr>
                  <w:rFonts w:ascii="Times New Roman" w:cs="Times New Roman" w:eastAsia="Times New Roman" w:hAnsi="Times New Roman"/>
                  <w:sz w:val="14"/>
                  <w:szCs w:val="14"/>
                  <w:color w:val="0000FF"/>
                </w:rPr>
                <w:t>form agreements.</w:t>
              </w:r>
            </w:hyperlink>
          </w:p>
        </w:tc>
        <w:tc>
          <w:tcPr>
            <w:tcW w:w="100" w:type="dxa"/>
            <w:vAlign w:val="bottom"/>
            <w:gridSpan w:val="3"/>
          </w:tcPr>
          <w:p>
            <w:pPr>
              <w:spacing w:after="0"/>
              <w:rPr>
                <w:sz w:val="11"/>
                <w:szCs w:val="11"/>
                <w:color w:val="auto"/>
              </w:rPr>
            </w:pPr>
          </w:p>
        </w:tc>
        <w:tc>
          <w:tcPr>
            <w:tcW w:w="2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tcBorders>
              <w:bottom w:val="single" w:sz="8" w:color="0000FF"/>
            </w:tcBorders>
            <w:gridSpan w:val="17"/>
          </w:tcPr>
          <w:p>
            <w:pPr>
              <w:spacing w:after="0"/>
              <w:rPr>
                <w:rFonts w:ascii="Times New Roman" w:cs="Times New Roman" w:eastAsia="Times New Roman" w:hAnsi="Times New Roman"/>
                <w:sz w:val="16"/>
                <w:szCs w:val="16"/>
                <w:color w:val="0000FF"/>
                <w:w w:val="96"/>
              </w:rPr>
            </w:pPr>
            <w:hyperlink r:id="rId22">
              <w:r>
                <w:rPr>
                  <w:rFonts w:ascii="Times New Roman" w:cs="Times New Roman" w:eastAsia="Times New Roman" w:hAnsi="Times New Roman"/>
                  <w:sz w:val="16"/>
                  <w:szCs w:val="16"/>
                  <w:color w:val="0000FF"/>
                  <w:w w:val="96"/>
                </w:rPr>
                <w:t>Navan, Inc. 2025 Equity Incentive Plan and related form agreements.</w:t>
              </w:r>
            </w:hyperlink>
          </w:p>
        </w:tc>
        <w:tc>
          <w:tcPr>
            <w:tcW w:w="20" w:type="dxa"/>
            <w:vAlign w:val="bottom"/>
          </w:tcPr>
          <w:p>
            <w:pPr>
              <w:spacing w:after="0"/>
              <w:rPr>
                <w:sz w:val="20"/>
                <w:szCs w:val="20"/>
                <w:color w:val="auto"/>
              </w:rPr>
            </w:pPr>
          </w:p>
        </w:tc>
      </w:tr>
      <w:tr>
        <w:trPr>
          <w:trHeight w:val="239"/>
        </w:trPr>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gridSpan w:val="18"/>
          </w:tcPr>
          <w:p>
            <w:pPr>
              <w:spacing w:after="0"/>
              <w:rPr>
                <w:rFonts w:ascii="Times New Roman" w:cs="Times New Roman" w:eastAsia="Times New Roman" w:hAnsi="Times New Roman"/>
                <w:sz w:val="16"/>
                <w:szCs w:val="16"/>
                <w:color w:val="0000FF"/>
              </w:rPr>
            </w:pPr>
            <w:hyperlink r:id="rId23">
              <w:r>
                <w:rPr>
                  <w:rFonts w:ascii="Times New Roman" w:cs="Times New Roman" w:eastAsia="Times New Roman" w:hAnsi="Times New Roman"/>
                  <w:sz w:val="16"/>
                  <w:szCs w:val="16"/>
                  <w:color w:val="0000FF"/>
                </w:rPr>
                <w:t>Navan, Inc. 2025 Employee Stock Purchase Plan and related form</w:t>
              </w:r>
            </w:hyperlink>
          </w:p>
        </w:tc>
      </w:tr>
      <w:tr>
        <w:trPr>
          <w:trHeight w:val="135"/>
        </w:trPr>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Borders>
              <w:top w:val="single" w:sz="8" w:color="0000FF"/>
            </w:tcBorders>
            <w:gridSpan w:val="13"/>
          </w:tcPr>
          <w:p>
            <w:pPr>
              <w:spacing w:after="0" w:line="135" w:lineRule="exact"/>
              <w:rPr>
                <w:rFonts w:ascii="Times New Roman" w:cs="Times New Roman" w:eastAsia="Times New Roman" w:hAnsi="Times New Roman"/>
                <w:sz w:val="14"/>
                <w:szCs w:val="14"/>
                <w:color w:val="0000FF"/>
              </w:rPr>
            </w:pPr>
            <w:hyperlink r:id="rId23">
              <w:r>
                <w:rPr>
                  <w:rFonts w:ascii="Times New Roman" w:cs="Times New Roman" w:eastAsia="Times New Roman" w:hAnsi="Times New Roman"/>
                  <w:sz w:val="14"/>
                  <w:szCs w:val="14"/>
                  <w:color w:val="0000FF"/>
                </w:rPr>
                <w:t>agreements.</w:t>
              </w:r>
            </w:hyperlink>
          </w:p>
        </w:tc>
        <w:tc>
          <w:tcPr>
            <w:tcW w:w="220" w:type="dxa"/>
            <w:vAlign w:val="bottom"/>
            <w:gridSpan w:val="5"/>
          </w:tcPr>
          <w:p>
            <w:pPr>
              <w:spacing w:after="0"/>
              <w:rPr>
                <w:sz w:val="11"/>
                <w:szCs w:val="11"/>
                <w:color w:val="auto"/>
              </w:rPr>
            </w:pP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7" w:lineRule="exact"/>
        <w:rPr>
          <w:sz w:val="20"/>
          <w:szCs w:val="20"/>
          <w:color w:val="auto"/>
        </w:rPr>
      </w:pPr>
    </w:p>
    <w:p>
      <w:pPr>
        <w:ind w:left="860" w:hanging="839"/>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2"/>
                <w:szCs w:val="12"/>
                <w:b w:val="1"/>
                <w:bCs w:val="1"/>
                <w:color w:val="auto"/>
              </w:rPr>
              <w:t>Incorporated by Reference</w:t>
            </w:r>
          </w:p>
        </w:tc>
        <w:tc>
          <w:tcPr>
            <w:tcW w:w="1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17"/>
        </w:trPr>
        <w:tc>
          <w:tcPr>
            <w:tcW w:w="92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2"/>
                <w:szCs w:val="12"/>
                <w:b w:val="1"/>
                <w:bCs w:val="1"/>
                <w:color w:val="auto"/>
                <w:w w:val="99"/>
              </w:rPr>
              <w:t>Schedule</w:t>
            </w:r>
          </w:p>
        </w:tc>
        <w:tc>
          <w:tcPr>
            <w:tcW w:w="130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2"/>
                <w:szCs w:val="12"/>
                <w:b w:val="1"/>
                <w:bCs w:val="1"/>
                <w:color w:val="auto"/>
              </w:rPr>
              <w:t>File</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jc w:val="center"/>
              <w:ind w:right="86"/>
              <w:spacing w:after="0" w:line="117" w:lineRule="exact"/>
              <w:rPr>
                <w:sz w:val="20"/>
                <w:szCs w:val="20"/>
                <w:color w:val="auto"/>
              </w:rPr>
            </w:pPr>
            <w:r>
              <w:rPr>
                <w:rFonts w:ascii="Times New Roman" w:cs="Times New Roman" w:eastAsia="Times New Roman" w:hAnsi="Times New Roman"/>
                <w:sz w:val="12"/>
                <w:szCs w:val="12"/>
                <w:b w:val="1"/>
                <w:bCs w:val="1"/>
                <w:color w:val="auto"/>
                <w:w w:val="99"/>
              </w:rPr>
              <w:t>Filing</w:t>
            </w:r>
          </w:p>
        </w:tc>
        <w:tc>
          <w:tcPr>
            <w:tcW w:w="12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Filed</w:t>
            </w:r>
          </w:p>
        </w:tc>
      </w:tr>
      <w:tr>
        <w:trPr>
          <w:trHeight w:val="174"/>
        </w:trPr>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Form</w:t>
            </w: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Herewith</w:t>
            </w:r>
          </w:p>
        </w:tc>
      </w:tr>
      <w:tr>
        <w:trPr>
          <w:trHeight w:val="318"/>
        </w:trPr>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86"/>
              <w:spacing w:after="0"/>
              <w:rPr>
                <w:sz w:val="20"/>
                <w:szCs w:val="20"/>
                <w:color w:val="auto"/>
              </w:rPr>
            </w:pPr>
            <w:r>
              <w:rPr>
                <w:rFonts w:ascii="Times New Roman" w:cs="Times New Roman" w:eastAsia="Times New Roman" w:hAnsi="Times New Roman"/>
                <w:sz w:val="16"/>
                <w:szCs w:val="16"/>
                <w:color w:val="auto"/>
                <w:w w:val="98"/>
              </w:rPr>
              <w:t>September 19,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106"/>
              <w:spacing w:after="0"/>
              <w:rPr>
                <w:sz w:val="20"/>
                <w:szCs w:val="20"/>
                <w:color w:val="auto"/>
              </w:rPr>
            </w:pPr>
            <w:r>
              <w:rPr>
                <w:rFonts w:ascii="Times New Roman" w:cs="Times New Roman" w:eastAsia="Times New Roman" w:hAnsi="Times New Roman"/>
                <w:sz w:val="16"/>
                <w:szCs w:val="16"/>
                <w:color w:val="auto"/>
                <w:w w:val="96"/>
              </w:rPr>
              <w:t>October 10,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2"/>
        </w:trPr>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86"/>
              <w:spacing w:after="0"/>
              <w:rPr>
                <w:sz w:val="20"/>
                <w:szCs w:val="20"/>
                <w:color w:val="auto"/>
              </w:rPr>
            </w:pPr>
            <w:r>
              <w:rPr>
                <w:rFonts w:ascii="Times New Roman" w:cs="Times New Roman" w:eastAsia="Times New Roman" w:hAnsi="Times New Roman"/>
                <w:sz w:val="16"/>
                <w:szCs w:val="16"/>
                <w:color w:val="auto"/>
                <w:w w:val="98"/>
              </w:rPr>
              <w:t>September 19,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106"/>
              <w:spacing w:after="0"/>
              <w:rPr>
                <w:sz w:val="20"/>
                <w:szCs w:val="20"/>
                <w:color w:val="auto"/>
              </w:rPr>
            </w:pPr>
            <w:r>
              <w:rPr>
                <w:rFonts w:ascii="Times New Roman" w:cs="Times New Roman" w:eastAsia="Times New Roman" w:hAnsi="Times New Roman"/>
                <w:sz w:val="16"/>
                <w:szCs w:val="16"/>
                <w:color w:val="auto"/>
                <w:w w:val="96"/>
              </w:rPr>
              <w:t>October 10,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7"/>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106"/>
              <w:spacing w:after="0"/>
              <w:rPr>
                <w:sz w:val="20"/>
                <w:szCs w:val="20"/>
                <w:color w:val="auto"/>
              </w:rPr>
            </w:pPr>
            <w:r>
              <w:rPr>
                <w:rFonts w:ascii="Times New Roman" w:cs="Times New Roman" w:eastAsia="Times New Roman" w:hAnsi="Times New Roman"/>
                <w:sz w:val="16"/>
                <w:szCs w:val="16"/>
                <w:color w:val="auto"/>
                <w:w w:val="96"/>
              </w:rPr>
              <w:t>October 10,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9"/>
        </w:trPr>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259"/>
        </w:trPr>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337"/>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337"/>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337"/>
        </w:trPr>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86"/>
              <w:spacing w:after="0"/>
              <w:rPr>
                <w:sz w:val="20"/>
                <w:szCs w:val="20"/>
                <w:color w:val="auto"/>
              </w:rPr>
            </w:pPr>
            <w:r>
              <w:rPr>
                <w:rFonts w:ascii="Times New Roman" w:cs="Times New Roman" w:eastAsia="Times New Roman" w:hAnsi="Times New Roman"/>
                <w:sz w:val="16"/>
                <w:szCs w:val="16"/>
                <w:color w:val="auto"/>
                <w:w w:val="98"/>
              </w:rPr>
              <w:t>September 19,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7"/>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106"/>
              <w:spacing w:after="0"/>
              <w:rPr>
                <w:sz w:val="20"/>
                <w:szCs w:val="20"/>
                <w:color w:val="auto"/>
              </w:rPr>
            </w:pPr>
            <w:r>
              <w:rPr>
                <w:rFonts w:ascii="Times New Roman" w:cs="Times New Roman" w:eastAsia="Times New Roman" w:hAnsi="Times New Roman"/>
                <w:sz w:val="16"/>
                <w:szCs w:val="16"/>
                <w:color w:val="auto"/>
                <w:w w:val="96"/>
              </w:rPr>
              <w:t>October 10,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7"/>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333-290396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106"/>
              <w:spacing w:after="0"/>
              <w:rPr>
                <w:sz w:val="20"/>
                <w:szCs w:val="20"/>
                <w:color w:val="auto"/>
              </w:rPr>
            </w:pPr>
            <w:r>
              <w:rPr>
                <w:rFonts w:ascii="Times New Roman" w:cs="Times New Roman" w:eastAsia="Times New Roman" w:hAnsi="Times New Roman"/>
                <w:sz w:val="16"/>
                <w:szCs w:val="16"/>
                <w:color w:val="auto"/>
                <w:w w:val="96"/>
              </w:rPr>
              <w:t>October 10, 2025</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7"/>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bl>
    <w:p>
      <w:pPr>
        <w:spacing w:after="0" w:line="200" w:lineRule="exact"/>
        <w:rPr>
          <w:sz w:val="20"/>
          <w:szCs w:val="20"/>
          <w:color w:val="auto"/>
        </w:rPr>
      </w:pPr>
    </w:p>
    <w:p>
      <w:pPr>
        <w:sectPr>
          <w:pgSz w:w="11900" w:h="16838" w:orient="portrait"/>
          <w:cols w:equalWidth="0" w:num="2">
            <w:col w:w="5200" w:space="80"/>
            <w:col w:w="5960"/>
          </w:cols>
          <w:pgMar w:left="320" w:top="1440"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69" w:lineRule="exact"/>
        <w:rPr>
          <w:sz w:val="20"/>
          <w:szCs w:val="20"/>
          <w:color w:val="auto"/>
        </w:rPr>
      </w:pPr>
    </w:p>
    <w:p>
      <w:pPr>
        <w:ind w:left="620" w:hanging="306"/>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67"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67"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67" w:lineRule="exact"/>
        <w:rPr>
          <w:rFonts w:ascii="Times New Roman" w:cs="Times New Roman" w:eastAsia="Times New Roman" w:hAnsi="Times New Roman"/>
          <w:sz w:val="17"/>
          <w:szCs w:val="17"/>
          <w:color w:val="auto"/>
        </w:rPr>
      </w:pPr>
    </w:p>
    <w:p>
      <w:pPr>
        <w:ind w:left="1240" w:right="80" w:hanging="304"/>
        <w:spacing w:after="0" w:line="260" w:lineRule="auto"/>
        <w:tabs>
          <w:tab w:leader="none" w:pos="1231"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80" w:lineRule="exact"/>
        <w:rPr>
          <w:sz w:val="20"/>
          <w:szCs w:val="20"/>
          <w:color w:val="auto"/>
        </w:rPr>
      </w:pPr>
    </w:p>
    <w:p>
      <w:pPr>
        <w:ind w:left="1240" w:right="580" w:hanging="304"/>
        <w:spacing w:after="0" w:line="291"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and (A)(1)(ii) do not apply if the information required to be included in a post-effective amendment by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paragraphs is contained in periodic reports filed with or furnished to the Commission by the Registrant pursuant to Section 13 or Section 15(d) of the Exchange Act that are incorporated by reference in this Registration Statement.</w:t>
      </w:r>
    </w:p>
    <w:p>
      <w:pPr>
        <w:spacing w:after="0" w:line="109" w:lineRule="exact"/>
        <w:rPr>
          <w:sz w:val="20"/>
          <w:szCs w:val="20"/>
          <w:color w:val="auto"/>
        </w:rPr>
      </w:pPr>
    </w:p>
    <w:p>
      <w:pPr>
        <w:ind w:left="940" w:right="200" w:hanging="315"/>
        <w:spacing w:after="0" w:line="273" w:lineRule="auto"/>
        <w:tabs>
          <w:tab w:leader="none" w:pos="9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9" w:lineRule="exact"/>
        <w:rPr>
          <w:rFonts w:ascii="Times New Roman" w:cs="Times New Roman" w:eastAsia="Times New Roman" w:hAnsi="Times New Roman"/>
          <w:sz w:val="17"/>
          <w:szCs w:val="17"/>
          <w:color w:val="auto"/>
        </w:rPr>
      </w:pPr>
    </w:p>
    <w:p>
      <w:pPr>
        <w:ind w:left="940" w:hanging="315"/>
        <w:spacing w:after="0" w:line="291" w:lineRule="auto"/>
        <w:tabs>
          <w:tab w:leader="none" w:pos="9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95" w:lineRule="exact"/>
        <w:rPr>
          <w:rFonts w:ascii="Times New Roman" w:cs="Times New Roman" w:eastAsia="Times New Roman" w:hAnsi="Times New Roman"/>
          <w:sz w:val="17"/>
          <w:szCs w:val="17"/>
          <w:color w:val="auto"/>
        </w:rPr>
      </w:pPr>
    </w:p>
    <w:p>
      <w:pPr>
        <w:ind w:left="940" w:right="40" w:hanging="315"/>
        <w:spacing w:after="0" w:line="263" w:lineRule="auto"/>
        <w:tabs>
          <w:tab w:leader="none" w:pos="9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0"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167" w:lineRule="exact"/>
        <w:rPr>
          <w:rFonts w:ascii="Times New Roman" w:cs="Times New Roman" w:eastAsia="Times New Roman" w:hAnsi="Times New Roman"/>
          <w:sz w:val="17"/>
          <w:szCs w:val="17"/>
          <w:color w:val="auto"/>
        </w:rPr>
      </w:pPr>
    </w:p>
    <w:p>
      <w:pPr>
        <w:ind w:left="1240" w:right="740" w:hanging="304"/>
        <w:spacing w:after="0" w:line="291" w:lineRule="auto"/>
        <w:tabs>
          <w:tab w:leader="none" w:pos="1231"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95" w:lineRule="exact"/>
        <w:rPr>
          <w:rFonts w:ascii="Times New Roman" w:cs="Times New Roman" w:eastAsia="Times New Roman" w:hAnsi="Times New Roman"/>
          <w:sz w:val="17"/>
          <w:szCs w:val="17"/>
          <w:color w:val="auto"/>
        </w:rPr>
      </w:pPr>
    </w:p>
    <w:p>
      <w:pPr>
        <w:ind w:left="1240" w:right="180" w:hanging="304"/>
        <w:spacing w:after="0" w:line="291" w:lineRule="auto"/>
        <w:tabs>
          <w:tab w:leader="none" w:pos="12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95" w:lineRule="exact"/>
        <w:rPr>
          <w:rFonts w:ascii="Times New Roman" w:cs="Times New Roman" w:eastAsia="Times New Roman" w:hAnsi="Times New Roman"/>
          <w:sz w:val="17"/>
          <w:szCs w:val="17"/>
          <w:color w:val="auto"/>
        </w:rPr>
      </w:pPr>
    </w:p>
    <w:p>
      <w:pPr>
        <w:ind w:left="1240" w:hanging="304"/>
        <w:spacing w:after="0"/>
        <w:tabs>
          <w:tab w:leader="none" w:pos="12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167" w:lineRule="exact"/>
        <w:rPr>
          <w:rFonts w:ascii="Times New Roman" w:cs="Times New Roman" w:eastAsia="Times New Roman" w:hAnsi="Times New Roman"/>
          <w:sz w:val="17"/>
          <w:szCs w:val="17"/>
          <w:color w:val="auto"/>
        </w:rPr>
      </w:pPr>
    </w:p>
    <w:p>
      <w:pPr>
        <w:ind w:left="620" w:right="200" w:hanging="306"/>
        <w:spacing w:after="0" w:line="263" w:lineRule="auto"/>
        <w:tabs>
          <w:tab w:leader="none" w:pos="61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0" w:lineRule="exact"/>
        <w:rPr>
          <w:rFonts w:ascii="Times New Roman" w:cs="Times New Roman" w:eastAsia="Times New Roman" w:hAnsi="Times New Roman"/>
          <w:sz w:val="17"/>
          <w:szCs w:val="17"/>
          <w:color w:val="auto"/>
        </w:rPr>
      </w:pPr>
    </w:p>
    <w:p>
      <w:pPr>
        <w:ind w:left="620" w:right="60" w:hanging="306"/>
        <w:spacing w:after="0" w:line="260" w:lineRule="auto"/>
        <w:tabs>
          <w:tab w:leader="none" w:pos="61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1240"/>
          </w:cols>
          <w:pgMar w:left="320" w:top="1440" w:right="339" w:bottom="1440" w:gutter="0" w:footer="0" w:header="0"/>
        </w:sectPr>
      </w:pPr>
    </w:p>
    <w:bookmarkStart w:id="6" w:name="page7"/>
    <w:bookmarkEnd w:id="6"/>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Palo Alto, State of California, on October 30, 2025.</w:t>
      </w:r>
    </w:p>
    <w:p>
      <w:pPr>
        <w:spacing w:after="0" w:line="14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b w:val="1"/>
          <w:bCs w:val="1"/>
          <w:color w:val="auto"/>
        </w:rPr>
        <w:t>NAVAN, INC.</w:t>
      </w:r>
    </w:p>
    <w:p>
      <w:pPr>
        <w:spacing w:after="0" w:line="234" w:lineRule="exact"/>
        <w:rPr>
          <w:sz w:val="20"/>
          <w:szCs w:val="20"/>
          <w:color w:val="auto"/>
        </w:rPr>
      </w:pPr>
    </w:p>
    <w:tbl>
      <w:tblPr>
        <w:tblLayout w:type="fixed"/>
        <w:tblInd w:w="6300" w:type="dxa"/>
        <w:tblCellMar>
          <w:top w:w="0" w:type="dxa"/>
          <w:left w:w="0" w:type="dxa"/>
          <w:bottom w:w="0" w:type="dxa"/>
          <w:right w:w="0" w:type="dxa"/>
        </w:tblCellMar>
      </w:tblPr>
      <w:tr>
        <w:trPr>
          <w:trHeight w:val="226"/>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Ariel Cohen</w:t>
            </w:r>
          </w:p>
        </w:tc>
      </w:tr>
      <w:tr>
        <w:trPr>
          <w:trHeight w:val="208"/>
        </w:trPr>
        <w:tc>
          <w:tcPr>
            <w:tcW w:w="62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Ariel Cohen</w:t>
            </w:r>
          </w:p>
        </w:tc>
      </w:tr>
      <w:tr>
        <w:trPr>
          <w:trHeight w:val="226"/>
        </w:trPr>
        <w:tc>
          <w:tcPr>
            <w:tcW w:w="62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Ariel Cohen, Amy Butte, and Howard Baik, and each of them, as his or her true and lawful attorneys-in-fact, proxies, and agents, each with full power of substitution and resubstitution, for him or her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2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5"/>
                <w:szCs w:val="15"/>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3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Ariel Cohen</w:t>
            </w:r>
          </w:p>
        </w:tc>
        <w:tc>
          <w:tcPr>
            <w:tcW w:w="10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Chairperson of the Board of Directors and Chief Executive Officer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78"/>
        </w:trPr>
        <w:tc>
          <w:tcPr>
            <w:tcW w:w="3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Ariel Cohen</w:t>
            </w:r>
          </w:p>
        </w:tc>
        <w:tc>
          <w:tcPr>
            <w:tcW w:w="100" w:type="dxa"/>
            <w:vAlign w:val="bottom"/>
          </w:tcPr>
          <w:p>
            <w:pPr>
              <w:spacing w:after="0"/>
              <w:rPr>
                <w:sz w:val="11"/>
                <w:szCs w:val="11"/>
                <w:color w:val="auto"/>
              </w:rPr>
            </w:pPr>
          </w:p>
        </w:tc>
        <w:tc>
          <w:tcPr>
            <w:tcW w:w="6180" w:type="dxa"/>
            <w:vAlign w:val="bottom"/>
            <w:gridSpan w:val="2"/>
            <w:vMerge w:val="continue"/>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0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Amy Butte</w:t>
            </w:r>
          </w:p>
        </w:tc>
        <w:tc>
          <w:tcPr>
            <w:tcW w:w="10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39"/>
        </w:trPr>
        <w:tc>
          <w:tcPr>
            <w:tcW w:w="3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c>
          <w:tcPr>
            <w:tcW w:w="1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Amy Butte</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 Anne Giviskos</w:t>
            </w:r>
          </w:p>
        </w:tc>
        <w:tc>
          <w:tcPr>
            <w:tcW w:w="100" w:type="dxa"/>
            <w:vAlign w:val="bottom"/>
          </w:tcPr>
          <w:p>
            <w:pPr>
              <w:spacing w:after="0"/>
              <w:rPr>
                <w:sz w:val="24"/>
                <w:szCs w:val="24"/>
                <w:color w:val="auto"/>
              </w:rPr>
            </w:pPr>
          </w:p>
        </w:tc>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39"/>
        </w:trPr>
        <w:tc>
          <w:tcPr>
            <w:tcW w:w="3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Accounting Officer</w:t>
            </w:r>
            <w:r>
              <w:rPr>
                <w:rFonts w:ascii="Times New Roman" w:cs="Times New Roman" w:eastAsia="Times New Roman" w:hAnsi="Times New Roman"/>
                <w:sz w:val="17"/>
                <w:szCs w:val="17"/>
                <w:color w:val="auto"/>
              </w:rPr>
              <w:t>)</w:t>
            </w:r>
          </w:p>
        </w:tc>
        <w:tc>
          <w:tcPr>
            <w:tcW w:w="1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Anne Giviskos</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Ben Horowitz</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84"/>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Ben Horowitz</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Arif Janmohamed</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84"/>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Arif Janmohamed</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Michael Kourey</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84"/>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Michael Kourey</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Clara Liang</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84"/>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Clara Liang</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Sandesh Patnam</w:t>
            </w:r>
          </w:p>
        </w:tc>
        <w:tc>
          <w:tcPr>
            <w:tcW w:w="100" w:type="dxa"/>
            <w:vAlign w:val="bottom"/>
          </w:tcPr>
          <w:p>
            <w:pPr>
              <w:spacing w:after="0"/>
              <w:rPr>
                <w:sz w:val="24"/>
                <w:szCs w:val="24"/>
                <w:color w:val="auto"/>
              </w:rPr>
            </w:pPr>
          </w:p>
        </w:tc>
        <w:tc>
          <w:tcPr>
            <w:tcW w:w="6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c>
          <w:tcPr>
            <w:tcW w:w="0" w:type="dxa"/>
            <w:vAlign w:val="bottom"/>
          </w:tcPr>
          <w:p>
            <w:pPr>
              <w:spacing w:after="0"/>
              <w:rPr>
                <w:sz w:val="1"/>
                <w:szCs w:val="1"/>
                <w:color w:val="auto"/>
              </w:rPr>
            </w:pPr>
          </w:p>
        </w:tc>
      </w:tr>
      <w:tr>
        <w:trPr>
          <w:trHeight w:val="84"/>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Sandesh Patnam</w:t>
            </w:r>
          </w:p>
        </w:tc>
        <w:tc>
          <w:tcPr>
            <w:tcW w:w="100" w:type="dxa"/>
            <w:vAlign w:val="bottom"/>
          </w:tcPr>
          <w:p>
            <w:pPr>
              <w:spacing w:after="0"/>
              <w:rPr>
                <w:sz w:val="7"/>
                <w:szCs w:val="7"/>
                <w:color w:val="auto"/>
              </w:rPr>
            </w:pPr>
          </w:p>
        </w:tc>
        <w:tc>
          <w:tcPr>
            <w:tcW w:w="6180" w:type="dxa"/>
            <w:vAlign w:val="bottom"/>
            <w:gridSpan w:val="2"/>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1240"/>
          </w:cols>
          <w:pgMar w:left="320" w:top="1440" w:right="339" w:bottom="1440" w:gutter="0" w:footer="0" w:header="0"/>
        </w:sectPr>
      </w:pPr>
    </w:p>
    <w:bookmarkStart w:id="7" w:name="page8"/>
    <w:bookmarkEnd w:id="7"/>
    <w:p>
      <w:pPr>
        <w:spacing w:after="0" w:line="11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28575</wp:posOffset>
            </wp:positionV>
            <wp:extent cx="193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 Ilan Twig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19050</wp:posOffset>
            </wp:positionV>
            <wp:extent cx="1932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Ilan Twig</w:t>
      </w:r>
    </w:p>
    <w:p>
      <w:pPr>
        <w:spacing w:after="0" w:line="1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 Anré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19050</wp:posOffset>
            </wp:positionV>
            <wp:extent cx="1932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Anré Williams</w:t>
      </w:r>
    </w:p>
    <w:p>
      <w:pPr>
        <w:spacing w:after="0" w:line="1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/s/ Oren Zeev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19050</wp:posOffset>
            </wp:positionV>
            <wp:extent cx="19323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Oren Zeev</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6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382"/>
        </w:trPr>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Technology Officer and 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r>
      <w:tr>
        <w:trPr>
          <w:trHeight w:val="583"/>
        </w:trPr>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r>
      <w:tr>
        <w:trPr>
          <w:trHeight w:val="583"/>
        </w:trPr>
        <w:tc>
          <w:tcPr>
            <w:tcW w:w="61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1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30,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II-6</w:t>
      </w:r>
    </w:p>
    <w:p>
      <w:pPr>
        <w:sectPr>
          <w:pgSz w:w="11900" w:h="16838" w:orient="portrait"/>
          <w:cols w:equalWidth="0" w:num="2">
            <w:col w:w="1500" w:space="720"/>
            <w:col w:w="8100"/>
          </w:cols>
          <w:pgMar w:left="1240" w:top="1440" w:right="339" w:bottom="1440" w:gutter="0" w:footer="0" w:header="0"/>
        </w:sectPr>
      </w:pPr>
    </w:p>
    <w:bookmarkStart w:id="8" w:name="page9"/>
    <w:bookmarkEnd w:id="8"/>
    <w:p>
      <w:pPr>
        <w:ind w:left="2380"/>
        <w:spacing w:after="0"/>
        <w:rPr>
          <w:sz w:val="20"/>
          <w:szCs w:val="20"/>
          <w:color w:val="auto"/>
        </w:rPr>
      </w:pPr>
      <w:r>
        <w:rPr>
          <w:rFonts w:ascii="Arial" w:cs="Arial" w:eastAsia="Arial" w:hAnsi="Arial"/>
          <w:sz w:val="34"/>
          <w:szCs w:val="34"/>
          <w:b w:val="1"/>
          <w:bCs w:val="1"/>
          <w:color w:val="auto"/>
        </w:rPr>
        <w:t>Calculation of Filing Fee Tables</w:t>
      </w:r>
    </w:p>
    <w:p>
      <w:pPr>
        <w:spacing w:after="0" w:line="218" w:lineRule="exact"/>
        <w:rPr>
          <w:sz w:val="20"/>
          <w:szCs w:val="20"/>
          <w:color w:val="auto"/>
        </w:rPr>
      </w:pPr>
    </w:p>
    <w:p>
      <w:pPr>
        <w:ind w:left="4680"/>
        <w:spacing w:after="0"/>
        <w:rPr>
          <w:sz w:val="20"/>
          <w:szCs w:val="20"/>
          <w:color w:val="auto"/>
        </w:rPr>
      </w:pPr>
      <w:r>
        <w:rPr>
          <w:rFonts w:ascii="Arial" w:cs="Arial" w:eastAsia="Arial" w:hAnsi="Arial"/>
          <w:sz w:val="35"/>
          <w:szCs w:val="35"/>
          <w:b w:val="1"/>
          <w:bCs w:val="1"/>
          <w:color w:val="auto"/>
        </w:rPr>
        <w:t>S-8</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35"/>
          <w:szCs w:val="35"/>
          <w:b w:val="1"/>
          <w:bCs w:val="1"/>
          <w:color w:val="auto"/>
        </w:rPr>
        <w:t>Navan,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33655</wp:posOffset>
            </wp:positionV>
            <wp:extent cx="6426835" cy="63366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6426835" cy="6336665"/>
                    </a:xfrm>
                    <a:prstGeom prst="rect">
                      <a:avLst/>
                    </a:prstGeom>
                    <a:noFill/>
                  </pic:spPr>
                </pic:pic>
              </a:graphicData>
            </a:graphic>
          </wp:anchor>
        </w:drawing>
      </w:r>
    </w:p>
    <w:p>
      <w:pPr>
        <w:sectPr>
          <w:pgSz w:w="11900" w:h="16838" w:orient="portrait"/>
          <w:cols w:equalWidth="0" w:num="1">
            <w:col w:w="10040"/>
          </w:cols>
          <w:pgMar w:left="920" w:top="141" w:right="939" w:bottom="2" w:gutter="0" w:footer="0" w:header="0"/>
        </w:sectPr>
      </w:pP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453"/>
        </w:trPr>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Security</w:t>
            </w:r>
          </w:p>
        </w:tc>
        <w:tc>
          <w:tcPr>
            <w:tcW w:w="20" w:type="dxa"/>
            <w:vAlign w:val="bottom"/>
          </w:tcPr>
          <w:p>
            <w:pPr>
              <w:spacing w:after="0"/>
              <w:rPr>
                <w:sz w:val="24"/>
                <w:szCs w:val="24"/>
                <w:color w:val="auto"/>
              </w:rPr>
            </w:pPr>
          </w:p>
        </w:tc>
        <w:tc>
          <w:tcPr>
            <w:tcW w:w="1240" w:type="dxa"/>
            <w:vAlign w:val="bottom"/>
            <w:vMerge w:val="restart"/>
            <w:shd w:val="clear" w:color="auto" w:fill="9ADAF6"/>
          </w:tcPr>
          <w:p>
            <w:pPr>
              <w:ind w:left="22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Pr>
          <w:p>
            <w:pPr>
              <w:spacing w:after="0"/>
              <w:rPr>
                <w:sz w:val="24"/>
                <w:szCs w:val="24"/>
                <w:color w:val="auto"/>
              </w:rPr>
            </w:pPr>
          </w:p>
        </w:tc>
        <w:tc>
          <w:tcPr>
            <w:tcW w:w="1100" w:type="dxa"/>
            <w:vAlign w:val="bottom"/>
            <w:vMerge w:val="restart"/>
            <w:shd w:val="clear" w:color="auto" w:fill="9ADAF6"/>
          </w:tcPr>
          <w:p>
            <w:pPr>
              <w:jc w:val="right"/>
              <w:ind w:right="76"/>
              <w:spacing w:after="0"/>
              <w:rPr>
                <w:sz w:val="20"/>
                <w:szCs w:val="20"/>
                <w:color w:val="auto"/>
              </w:rPr>
            </w:pPr>
            <w:r>
              <w:rPr>
                <w:rFonts w:ascii="Arial" w:cs="Arial" w:eastAsia="Arial" w:hAnsi="Arial"/>
                <w:sz w:val="21"/>
                <w:szCs w:val="21"/>
                <w:b w:val="1"/>
                <w:bCs w:val="1"/>
                <w:color w:val="auto"/>
              </w:rPr>
              <w:t>Amount</w:t>
            </w:r>
          </w:p>
        </w:tc>
        <w:tc>
          <w:tcPr>
            <w:tcW w:w="0" w:type="dxa"/>
            <w:vAlign w:val="bottom"/>
          </w:tcPr>
          <w:p>
            <w:pPr>
              <w:spacing w:after="0"/>
              <w:rPr>
                <w:sz w:val="1"/>
                <w:szCs w:val="1"/>
                <w:color w:val="auto"/>
              </w:rPr>
            </w:pPr>
          </w:p>
        </w:tc>
      </w:tr>
      <w:tr>
        <w:trPr>
          <w:trHeight w:val="208"/>
        </w:trPr>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shd w:val="clear" w:color="auto" w:fill="9ADAF6"/>
          </w:tcPr>
          <w:p>
            <w:pPr>
              <w:jc w:val="center"/>
              <w:spacing w:after="0" w:line="208" w:lineRule="exact"/>
              <w:rPr>
                <w:sz w:val="20"/>
                <w:szCs w:val="20"/>
                <w:color w:val="auto"/>
              </w:rPr>
            </w:pPr>
            <w:r>
              <w:rPr>
                <w:rFonts w:ascii="Arial" w:cs="Arial" w:eastAsia="Arial" w:hAnsi="Arial"/>
                <w:sz w:val="21"/>
                <w:szCs w:val="21"/>
                <w:b w:val="1"/>
                <w:bCs w:val="1"/>
                <w:color w:val="auto"/>
                <w:w w:val="98"/>
              </w:rPr>
              <w:t>Calculation</w:t>
            </w:r>
          </w:p>
        </w:tc>
        <w:tc>
          <w:tcPr>
            <w:tcW w:w="4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1240" w:type="dxa"/>
            <w:vAlign w:val="bottom"/>
            <w:shd w:val="clear" w:color="auto" w:fill="9ADAF6"/>
          </w:tcPr>
          <w:p>
            <w:pPr>
              <w:ind w:left="100"/>
              <w:spacing w:after="0" w:line="233" w:lineRule="exact"/>
              <w:rPr>
                <w:sz w:val="20"/>
                <w:szCs w:val="20"/>
                <w:color w:val="auto"/>
              </w:rPr>
            </w:pPr>
            <w:r>
              <w:rPr>
                <w:rFonts w:ascii="Arial" w:cs="Arial" w:eastAsia="Arial" w:hAnsi="Arial"/>
                <w:sz w:val="21"/>
                <w:szCs w:val="21"/>
                <w:b w:val="1"/>
                <w:bCs w:val="1"/>
                <w:color w:val="auto"/>
              </w:rPr>
              <w:t>Class Title</w:t>
            </w:r>
          </w:p>
        </w:tc>
        <w:tc>
          <w:tcPr>
            <w:tcW w:w="4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6"/>
              </w:rPr>
              <w:t>Rule</w:t>
            </w:r>
          </w:p>
        </w:tc>
        <w:tc>
          <w:tcPr>
            <w:tcW w:w="40" w:type="dxa"/>
            <w:vAlign w:val="bottom"/>
          </w:tcPr>
          <w:p>
            <w:pPr>
              <w:spacing w:after="0"/>
              <w:rPr>
                <w:sz w:val="20"/>
                <w:szCs w:val="20"/>
                <w:color w:val="auto"/>
              </w:rPr>
            </w:pPr>
          </w:p>
        </w:tc>
        <w:tc>
          <w:tcPr>
            <w:tcW w:w="110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Registered</w:t>
            </w:r>
          </w:p>
        </w:tc>
        <w:tc>
          <w:tcPr>
            <w:tcW w:w="0" w:type="dxa"/>
            <w:vAlign w:val="bottom"/>
          </w:tcPr>
          <w:p>
            <w:pPr>
              <w:spacing w:after="0"/>
              <w:rPr>
                <w:sz w:val="1"/>
                <w:szCs w:val="1"/>
                <w:color w:val="auto"/>
              </w:rPr>
            </w:pPr>
          </w:p>
        </w:tc>
      </w:tr>
      <w:tr>
        <w:trPr>
          <w:trHeight w:val="76"/>
        </w:trPr>
        <w:tc>
          <w:tcPr>
            <w:tcW w:w="140" w:type="dxa"/>
            <w:vAlign w:val="bottom"/>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vMerge w:val="continue"/>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value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1</w:t>
            </w:r>
          </w:p>
        </w:tc>
        <w:tc>
          <w:tcPr>
            <w:tcW w:w="40" w:type="dxa"/>
            <w:vAlign w:val="bottom"/>
          </w:tcPr>
          <w:p>
            <w:pPr>
              <w:spacing w:after="0"/>
              <w:rPr>
                <w:sz w:val="20"/>
                <w:szCs w:val="2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7"/>
              </w:rPr>
              <w:t>$0.00000625</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42,942,200</w:t>
            </w:r>
          </w:p>
        </w:tc>
        <w:tc>
          <w:tcPr>
            <w:tcW w:w="0" w:type="dxa"/>
            <w:vAlign w:val="bottom"/>
          </w:tcPr>
          <w:p>
            <w:pPr>
              <w:spacing w:after="0"/>
              <w:rPr>
                <w:sz w:val="1"/>
                <w:szCs w:val="1"/>
                <w:color w:val="auto"/>
              </w:rPr>
            </w:pPr>
          </w:p>
        </w:tc>
      </w:tr>
      <w:tr>
        <w:trPr>
          <w:trHeight w:val="157"/>
        </w:trPr>
        <w:tc>
          <w:tcPr>
            <w:tcW w:w="1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vMerge w:val="restart"/>
            <w:shd w:val="clear" w:color="auto" w:fill="E7E7E2"/>
          </w:tcPr>
          <w:p>
            <w:pPr>
              <w:ind w:left="20"/>
              <w:spacing w:after="0" w:line="233" w:lineRule="exact"/>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Navan, Inc.</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2025 Equity</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Incentive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value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7"/>
              </w:rPr>
              <w:t>$0.00000625</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2</w:t>
            </w:r>
          </w:p>
        </w:tc>
        <w:tc>
          <w:tcPr>
            <w:tcW w:w="40" w:type="dxa"/>
            <w:vAlign w:val="bottom"/>
          </w:tcPr>
          <w:p>
            <w:pPr>
              <w:spacing w:after="0"/>
              <w:rPr>
                <w:sz w:val="20"/>
                <w:szCs w:val="2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40" w:type="dxa"/>
            <w:vAlign w:val="bottom"/>
          </w:tcPr>
          <w:p>
            <w:pPr>
              <w:spacing w:after="0"/>
              <w:rPr>
                <w:sz w:val="20"/>
                <w:szCs w:val="20"/>
                <w:color w:val="auto"/>
              </w:rPr>
            </w:pPr>
          </w:p>
        </w:tc>
        <w:tc>
          <w:tcPr>
            <w:tcW w:w="11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5,000,000</w:t>
            </w:r>
          </w:p>
        </w:tc>
        <w:tc>
          <w:tcPr>
            <w:tcW w:w="0" w:type="dxa"/>
            <w:vAlign w:val="bottom"/>
          </w:tcPr>
          <w:p>
            <w:pPr>
              <w:spacing w:after="0"/>
              <w:rPr>
                <w:sz w:val="1"/>
                <w:szCs w:val="1"/>
                <w:color w:val="auto"/>
              </w:rPr>
            </w:pPr>
          </w:p>
        </w:tc>
      </w:tr>
      <w:tr>
        <w:trPr>
          <w:trHeight w:val="157"/>
        </w:trPr>
        <w:tc>
          <w:tcPr>
            <w:tcW w:w="1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vMerge w:val="continue"/>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vMerge w:val="restart"/>
            <w:shd w:val="clear" w:color="auto" w:fill="E7E7E2"/>
          </w:tcPr>
          <w:p>
            <w:pPr>
              <w:ind w:left="20"/>
              <w:spacing w:after="0" w:line="233" w:lineRule="exact"/>
              <w:rPr>
                <w:sz w:val="20"/>
                <w:szCs w:val="20"/>
                <w:color w:val="auto"/>
              </w:rPr>
            </w:pPr>
            <w:r>
              <w:rPr>
                <w:rFonts w:ascii="Arial" w:cs="Arial" w:eastAsia="Arial" w:hAnsi="Arial"/>
                <w:sz w:val="21"/>
                <w:szCs w:val="21"/>
                <w:color w:val="auto"/>
              </w:rPr>
              <w:t>Navan, Inc.</w:t>
            </w:r>
          </w:p>
        </w:tc>
        <w:tc>
          <w:tcPr>
            <w:tcW w:w="40" w:type="dxa"/>
            <w:vAlign w:val="bottom"/>
          </w:tcPr>
          <w:p>
            <w:pPr>
              <w:spacing w:after="0"/>
              <w:rPr>
                <w:sz w:val="13"/>
                <w:szCs w:val="13"/>
                <w:color w:val="auto"/>
              </w:rPr>
            </w:pPr>
          </w:p>
        </w:tc>
        <w:tc>
          <w:tcPr>
            <w:tcW w:w="1140" w:type="dxa"/>
            <w:vAlign w:val="bottom"/>
            <w:vMerge w:val="continue"/>
            <w:shd w:val="clear" w:color="auto" w:fill="E7E7E2"/>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continue"/>
            <w:shd w:val="clear" w:color="auto" w:fill="E7E7E2"/>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1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vMerge w:val="continue"/>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2025</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Employee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Purchase</w:t>
            </w: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shd w:val="clear" w:color="auto" w:fill="E7E7E2"/>
          </w:tcPr>
          <w:p>
            <w:pPr>
              <w:ind w:left="20"/>
              <w:spacing w:after="0"/>
              <w:rPr>
                <w:sz w:val="20"/>
                <w:szCs w:val="20"/>
                <w:color w:val="auto"/>
              </w:rPr>
            </w:pPr>
            <w:r>
              <w:rPr>
                <w:rFonts w:ascii="Arial" w:cs="Arial" w:eastAsia="Arial" w:hAnsi="Arial"/>
                <w:sz w:val="21"/>
                <w:szCs w:val="21"/>
                <w:color w:val="auto"/>
              </w:rPr>
              <w:t>Plan</w:t>
            </w: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shd w:val="clear" w:color="auto" w:fill="E7E7E2"/>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ind w:left="20"/>
              <w:spacing w:after="0"/>
              <w:rPr>
                <w:sz w:val="20"/>
                <w:szCs w:val="20"/>
                <w:color w:val="auto"/>
              </w:rPr>
            </w:pPr>
            <w:r>
              <w:rPr>
                <w:rFonts w:ascii="Arial" w:cs="Arial" w:eastAsia="Arial" w:hAnsi="Arial"/>
                <w:sz w:val="21"/>
                <w:szCs w:val="21"/>
                <w:color w:val="auto"/>
              </w:rPr>
              <w:t>Class A</w:t>
            </w:r>
          </w:p>
        </w:tc>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ind w:left="20"/>
              <w:spacing w:after="0" w:line="233"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ind w:left="20"/>
              <w:spacing w:after="0" w:line="233"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ind w:left="20"/>
              <w:spacing w:after="0" w:line="233" w:lineRule="exact"/>
              <w:rPr>
                <w:sz w:val="20"/>
                <w:szCs w:val="20"/>
                <w:color w:val="auto"/>
              </w:rPr>
            </w:pPr>
            <w:r>
              <w:rPr>
                <w:rFonts w:ascii="Arial" w:cs="Arial" w:eastAsia="Arial" w:hAnsi="Arial"/>
                <w:sz w:val="21"/>
                <w:szCs w:val="21"/>
                <w:color w:val="auto"/>
              </w:rPr>
              <w:t>value</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080" w:type="dxa"/>
            <w:vAlign w:val="bottom"/>
            <w:gridSpan w:val="3"/>
          </w:tcPr>
          <w:p>
            <w:pPr>
              <w:spacing w:after="0"/>
              <w:rPr>
                <w:sz w:val="20"/>
                <w:szCs w:val="20"/>
                <w:color w:val="auto"/>
              </w:rPr>
            </w:pPr>
            <w:r>
              <w:rPr>
                <w:rFonts w:ascii="Arial" w:cs="Arial" w:eastAsia="Arial" w:hAnsi="Arial"/>
                <w:sz w:val="21"/>
                <w:szCs w:val="21"/>
                <w:color w:val="auto"/>
              </w:rPr>
              <w:t>3 Equity</w:t>
            </w:r>
          </w:p>
        </w:tc>
        <w:tc>
          <w:tcPr>
            <w:tcW w:w="1260" w:type="dxa"/>
            <w:vAlign w:val="bottom"/>
            <w:gridSpan w:val="2"/>
          </w:tcPr>
          <w:p>
            <w:pPr>
              <w:ind w:left="40"/>
              <w:spacing w:after="0"/>
              <w:rPr>
                <w:sz w:val="20"/>
                <w:szCs w:val="20"/>
                <w:color w:val="auto"/>
              </w:rPr>
            </w:pPr>
            <w:r>
              <w:rPr>
                <w:rFonts w:ascii="Arial" w:cs="Arial" w:eastAsia="Arial" w:hAnsi="Arial"/>
                <w:sz w:val="21"/>
                <w:szCs w:val="21"/>
                <w:color w:val="auto"/>
                <w:w w:val="97"/>
              </w:rPr>
              <w:t>$0.00000625</w:t>
            </w:r>
          </w:p>
        </w:tc>
        <w:tc>
          <w:tcPr>
            <w:tcW w:w="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21"/>
                <w:szCs w:val="21"/>
                <w:color w:val="auto"/>
                <w:w w:val="98"/>
              </w:rPr>
              <w:t>Other</w:t>
            </w:r>
          </w:p>
        </w:tc>
        <w:tc>
          <w:tcPr>
            <w:tcW w:w="1140" w:type="dxa"/>
            <w:vAlign w:val="bottom"/>
            <w:gridSpan w:val="2"/>
          </w:tcPr>
          <w:p>
            <w:pPr>
              <w:jc w:val="right"/>
              <w:spacing w:after="0"/>
              <w:rPr>
                <w:sz w:val="20"/>
                <w:szCs w:val="20"/>
                <w:color w:val="auto"/>
              </w:rPr>
            </w:pPr>
            <w:r>
              <w:rPr>
                <w:rFonts w:ascii="Arial" w:cs="Arial" w:eastAsia="Arial" w:hAnsi="Arial"/>
                <w:sz w:val="21"/>
                <w:szCs w:val="21"/>
                <w:color w:val="auto"/>
              </w:rPr>
              <w:t>39,945,302</w:t>
            </w:r>
          </w:p>
        </w:tc>
        <w:tc>
          <w:tcPr>
            <w:tcW w:w="0" w:type="dxa"/>
            <w:vAlign w:val="bottom"/>
          </w:tcPr>
          <w:p>
            <w:pPr>
              <w:spacing w:after="0"/>
              <w:rPr>
                <w:sz w:val="1"/>
                <w:szCs w:val="1"/>
                <w:color w:val="auto"/>
              </w:rPr>
            </w:pPr>
          </w:p>
        </w:tc>
      </w:tr>
    </w:tbl>
    <w:p>
      <w:pPr>
        <w:ind w:left="1140"/>
        <w:spacing w:after="0" w:line="211" w:lineRule="auto"/>
        <w:rPr>
          <w:sz w:val="20"/>
          <w:szCs w:val="20"/>
          <w:color w:val="auto"/>
        </w:rPr>
      </w:pPr>
      <w:r>
        <w:rPr>
          <w:rFonts w:ascii="Arial" w:cs="Arial" w:eastAsia="Arial" w:hAnsi="Arial"/>
          <w:sz w:val="21"/>
          <w:szCs w:val="21"/>
          <w:color w:val="auto"/>
        </w:rPr>
        <w:t>per share,</w:t>
      </w:r>
    </w:p>
    <w:p>
      <w:pPr>
        <w:ind w:left="1140"/>
        <w:spacing w:after="0" w:line="232" w:lineRule="auto"/>
        <w:rPr>
          <w:sz w:val="20"/>
          <w:szCs w:val="20"/>
          <w:color w:val="auto"/>
        </w:rPr>
      </w:pPr>
      <w:r>
        <w:rPr>
          <w:rFonts w:ascii="Arial" w:cs="Arial" w:eastAsia="Arial" w:hAnsi="Arial"/>
          <w:sz w:val="21"/>
          <w:szCs w:val="21"/>
          <w:color w:val="auto"/>
        </w:rPr>
        <w:t>Navan, Inc.</w:t>
      </w:r>
    </w:p>
    <w:p>
      <w:pPr>
        <w:ind w:left="1140"/>
        <w:spacing w:after="0" w:line="231" w:lineRule="auto"/>
        <w:rPr>
          <w:sz w:val="20"/>
          <w:szCs w:val="20"/>
          <w:color w:val="auto"/>
        </w:rPr>
      </w:pPr>
      <w:r>
        <w:rPr>
          <w:rFonts w:ascii="Arial" w:cs="Arial" w:eastAsia="Arial" w:hAnsi="Arial"/>
          <w:sz w:val="21"/>
          <w:szCs w:val="21"/>
          <w:color w:val="auto"/>
        </w:rPr>
        <w:t>2015 Equity</w:t>
      </w:r>
    </w:p>
    <w:p>
      <w:pPr>
        <w:ind w:left="1140"/>
        <w:spacing w:after="0" w:line="232" w:lineRule="auto"/>
        <w:rPr>
          <w:sz w:val="20"/>
          <w:szCs w:val="20"/>
          <w:color w:val="auto"/>
        </w:rPr>
      </w:pPr>
      <w:r>
        <w:rPr>
          <w:rFonts w:ascii="Arial" w:cs="Arial" w:eastAsia="Arial" w:hAnsi="Arial"/>
          <w:sz w:val="21"/>
          <w:szCs w:val="21"/>
          <w:color w:val="auto"/>
        </w:rPr>
        <w:t>Incentive</w:t>
      </w:r>
    </w:p>
    <w:p>
      <w:pPr>
        <w:ind w:left="1140"/>
        <w:spacing w:after="0"/>
        <w:rPr>
          <w:sz w:val="20"/>
          <w:szCs w:val="20"/>
          <w:color w:val="auto"/>
        </w:rPr>
      </w:pPr>
      <w:r>
        <w:rPr>
          <w:rFonts w:ascii="Arial" w:cs="Arial" w:eastAsia="Arial" w:hAnsi="Arial"/>
          <w:sz w:val="21"/>
          <w:szCs w:val="21"/>
          <w:color w:val="auto"/>
        </w:rPr>
        <w:t>Plan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Proposed</w:t>
            </w:r>
          </w:p>
        </w:tc>
        <w:tc>
          <w:tcPr>
            <w:tcW w:w="20" w:type="dxa"/>
            <w:vAlign w:val="bottom"/>
          </w:tcPr>
          <w:p>
            <w:pPr>
              <w:spacing w:after="0"/>
              <w:rPr>
                <w:sz w:val="21"/>
                <w:szCs w:val="21"/>
                <w:color w:val="auto"/>
              </w:rPr>
            </w:pPr>
          </w:p>
        </w:tc>
        <w:tc>
          <w:tcPr>
            <w:tcW w:w="16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shd w:val="clear" w:color="auto" w:fill="9ADAF6"/>
          </w:tcPr>
          <w:p>
            <w:pPr>
              <w:spacing w:after="0"/>
              <w:rPr>
                <w:sz w:val="21"/>
                <w:szCs w:val="21"/>
                <w:color w:val="auto"/>
              </w:rPr>
            </w:pPr>
          </w:p>
        </w:tc>
      </w:tr>
      <w:tr>
        <w:trPr>
          <w:trHeight w:val="233"/>
        </w:trPr>
        <w:tc>
          <w:tcPr>
            <w:tcW w:w="12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20" w:type="dxa"/>
            <w:vAlign w:val="bottom"/>
          </w:tcPr>
          <w:p>
            <w:pPr>
              <w:spacing w:after="0"/>
              <w:rPr>
                <w:sz w:val="20"/>
                <w:szCs w:val="20"/>
                <w:color w:val="auto"/>
              </w:rPr>
            </w:pPr>
          </w:p>
        </w:tc>
        <w:tc>
          <w:tcPr>
            <w:tcW w:w="16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Maximum</w:t>
            </w: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Amount of</w:t>
            </w:r>
          </w:p>
        </w:tc>
      </w:tr>
      <w:tr>
        <w:trPr>
          <w:trHeight w:val="233"/>
        </w:trPr>
        <w:tc>
          <w:tcPr>
            <w:tcW w:w="12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w:t>
            </w:r>
          </w:p>
        </w:tc>
        <w:tc>
          <w:tcPr>
            <w:tcW w:w="20" w:type="dxa"/>
            <w:vAlign w:val="bottom"/>
          </w:tcPr>
          <w:p>
            <w:pPr>
              <w:spacing w:after="0"/>
              <w:rPr>
                <w:sz w:val="20"/>
                <w:szCs w:val="20"/>
                <w:color w:val="auto"/>
              </w:rPr>
            </w:pPr>
          </w:p>
        </w:tc>
        <w:tc>
          <w:tcPr>
            <w:tcW w:w="16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00" w:type="dxa"/>
            <w:vAlign w:val="bottom"/>
            <w:shd w:val="clear" w:color="auto" w:fill="9ADAF6"/>
          </w:tcPr>
          <w:p>
            <w:pPr>
              <w:ind w:left="60"/>
              <w:spacing w:after="0" w:line="233"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3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Registration</w:t>
            </w:r>
          </w:p>
        </w:tc>
      </w:tr>
      <w:tr>
        <w:trPr>
          <w:trHeight w:val="233"/>
        </w:trPr>
        <w:tc>
          <w:tcPr>
            <w:tcW w:w="12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Price Per</w:t>
            </w:r>
          </w:p>
        </w:tc>
        <w:tc>
          <w:tcPr>
            <w:tcW w:w="20" w:type="dxa"/>
            <w:vAlign w:val="bottom"/>
          </w:tcPr>
          <w:p>
            <w:pPr>
              <w:spacing w:after="0"/>
              <w:rPr>
                <w:sz w:val="20"/>
                <w:szCs w:val="20"/>
                <w:color w:val="auto"/>
              </w:rPr>
            </w:pPr>
          </w:p>
        </w:tc>
        <w:tc>
          <w:tcPr>
            <w:tcW w:w="16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Offering Price</w:t>
            </w:r>
          </w:p>
        </w:tc>
        <w:tc>
          <w:tcPr>
            <w:tcW w:w="40" w:type="dxa"/>
            <w:vAlign w:val="bottom"/>
          </w:tcPr>
          <w:p>
            <w:pPr>
              <w:spacing w:after="0"/>
              <w:rPr>
                <w:sz w:val="20"/>
                <w:szCs w:val="20"/>
                <w:color w:val="auto"/>
              </w:rPr>
            </w:pPr>
          </w:p>
        </w:tc>
        <w:tc>
          <w:tcPr>
            <w:tcW w:w="10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r>
      <w:tr>
        <w:trPr>
          <w:trHeight w:val="272"/>
        </w:trPr>
        <w:tc>
          <w:tcPr>
            <w:tcW w:w="12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3"/>
                <w:szCs w:val="23"/>
                <w:color w:val="auto"/>
              </w:rPr>
            </w:pPr>
          </w:p>
        </w:tc>
        <w:tc>
          <w:tcPr>
            <w:tcW w:w="16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380" w:type="dxa"/>
            <w:vAlign w:val="bottom"/>
            <w:shd w:val="clear" w:color="auto" w:fill="9ADAF6"/>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720" w:type="dxa"/>
            <w:vAlign w:val="bottom"/>
            <w:vMerge w:val="restart"/>
          </w:tcPr>
          <w:p>
            <w:pPr>
              <w:jc w:val="right"/>
              <w:spacing w:after="0"/>
              <w:rPr>
                <w:sz w:val="20"/>
                <w:szCs w:val="20"/>
                <w:color w:val="auto"/>
              </w:rPr>
            </w:pPr>
            <w:r>
              <w:rPr>
                <w:rFonts w:ascii="Arial" w:cs="Arial" w:eastAsia="Arial" w:hAnsi="Arial"/>
                <w:sz w:val="21"/>
                <w:szCs w:val="21"/>
                <w:color w:val="auto"/>
                <w:w w:val="96"/>
              </w:rPr>
              <w:t>$ 25.00</w:t>
            </w:r>
          </w:p>
        </w:tc>
        <w:tc>
          <w:tcPr>
            <w:tcW w:w="1680" w:type="dxa"/>
            <w:vAlign w:val="bottom"/>
          </w:tcPr>
          <w:p>
            <w:pPr>
              <w:jc w:val="right"/>
              <w:spacing w:after="0"/>
              <w:rPr>
                <w:sz w:val="20"/>
                <w:szCs w:val="20"/>
                <w:color w:val="auto"/>
              </w:rPr>
            </w:pPr>
            <w:r>
              <w:rPr>
                <w:rFonts w:ascii="Arial" w:cs="Arial" w:eastAsia="Arial" w:hAnsi="Arial"/>
                <w:sz w:val="21"/>
                <w:szCs w:val="21"/>
                <w:color w:val="auto"/>
              </w:rPr>
              <w:t>$</w:t>
            </w:r>
          </w:p>
        </w:tc>
        <w:tc>
          <w:tcPr>
            <w:tcW w:w="1120" w:type="dxa"/>
            <w:vAlign w:val="bottom"/>
            <w:vMerge w:val="restart"/>
          </w:tcPr>
          <w:p>
            <w:pPr>
              <w:jc w:val="right"/>
              <w:ind w:right="16"/>
              <w:spacing w:after="0"/>
              <w:rPr>
                <w:sz w:val="20"/>
                <w:szCs w:val="20"/>
                <w:color w:val="auto"/>
              </w:rPr>
            </w:pPr>
            <w:r>
              <w:rPr>
                <w:rFonts w:ascii="Arial" w:cs="Arial" w:eastAsia="Arial" w:hAnsi="Arial"/>
                <w:sz w:val="21"/>
                <w:szCs w:val="21"/>
                <w:color w:val="auto"/>
                <w:w w:val="98"/>
              </w:rPr>
              <w:t>0.0001381</w:t>
            </w:r>
          </w:p>
        </w:tc>
        <w:tc>
          <w:tcPr>
            <w:tcW w:w="1300" w:type="dxa"/>
            <w:vAlign w:val="bottom"/>
            <w:vMerge w:val="restart"/>
          </w:tcPr>
          <w:p>
            <w:pPr>
              <w:jc w:val="right"/>
              <w:spacing w:after="0"/>
              <w:rPr>
                <w:sz w:val="20"/>
                <w:szCs w:val="20"/>
                <w:color w:val="auto"/>
              </w:rPr>
            </w:pPr>
            <w:r>
              <w:rPr>
                <w:rFonts w:ascii="Arial" w:cs="Arial" w:eastAsia="Arial" w:hAnsi="Arial"/>
                <w:sz w:val="21"/>
                <w:szCs w:val="21"/>
                <w:color w:val="auto"/>
              </w:rPr>
              <w:t>$ 148,257.95</w:t>
            </w:r>
          </w:p>
        </w:tc>
        <w:tc>
          <w:tcPr>
            <w:tcW w:w="0" w:type="dxa"/>
            <w:vAlign w:val="bottom"/>
          </w:tcPr>
          <w:p>
            <w:pPr>
              <w:spacing w:after="0"/>
              <w:rPr>
                <w:sz w:val="1"/>
                <w:szCs w:val="1"/>
                <w:color w:val="auto"/>
              </w:rPr>
            </w:pPr>
          </w:p>
        </w:tc>
      </w:tr>
      <w:tr>
        <w:trPr>
          <w:trHeight w:val="274"/>
        </w:trPr>
        <w:tc>
          <w:tcPr>
            <w:tcW w:w="720" w:type="dxa"/>
            <w:vAlign w:val="bottom"/>
            <w:vMerge w:val="continue"/>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21"/>
                <w:szCs w:val="21"/>
                <w:color w:val="auto"/>
                <w:w w:val="99"/>
              </w:rPr>
              <w:t>1,073,555,000.00</w:t>
            </w:r>
          </w:p>
        </w:tc>
        <w:tc>
          <w:tcPr>
            <w:tcW w:w="1120" w:type="dxa"/>
            <w:vAlign w:val="bottom"/>
            <w:vMerge w:val="continue"/>
          </w:tcPr>
          <w:p>
            <w:pPr>
              <w:spacing w:after="0"/>
              <w:rPr>
                <w:sz w:val="23"/>
                <w:szCs w:val="23"/>
                <w:color w:val="auto"/>
              </w:rPr>
            </w:pPr>
          </w:p>
        </w:tc>
        <w:tc>
          <w:tcPr>
            <w:tcW w:w="13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spacing w:after="0"/>
        <w:tabs>
          <w:tab w:leader="none" w:pos="4220" w:val="left"/>
        </w:tabs>
        <w:rPr>
          <w:sz w:val="20"/>
          <w:szCs w:val="20"/>
          <w:color w:val="auto"/>
        </w:rPr>
      </w:pPr>
      <w:r>
        <w:rPr>
          <w:rFonts w:ascii="Arial" w:cs="Arial" w:eastAsia="Arial" w:hAnsi="Arial"/>
          <w:sz w:val="21"/>
          <w:szCs w:val="21"/>
          <w:color w:val="auto"/>
        </w:rPr>
        <w:t>$ 21.25 $ 106,250,000.00 0.0001381</w:t>
      </w:r>
      <w:r>
        <w:rPr>
          <w:sz w:val="20"/>
          <w:szCs w:val="20"/>
          <w:color w:val="auto"/>
        </w:rPr>
        <w:tab/>
      </w:r>
      <w:r>
        <w:rPr>
          <w:rFonts w:ascii="Arial" w:cs="Arial" w:eastAsia="Arial" w:hAnsi="Arial"/>
          <w:sz w:val="20"/>
          <w:szCs w:val="20"/>
          <w:color w:val="auto"/>
        </w:rPr>
        <w:t>$ 14,673.13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0"/>
        <w:spacing w:after="0"/>
        <w:tabs>
          <w:tab w:leader="none" w:pos="4220" w:val="left"/>
        </w:tabs>
        <w:rPr>
          <w:sz w:val="20"/>
          <w:szCs w:val="20"/>
          <w:color w:val="auto"/>
        </w:rPr>
      </w:pPr>
      <w:r>
        <w:rPr>
          <w:rFonts w:ascii="Arial" w:cs="Arial" w:eastAsia="Arial" w:hAnsi="Arial"/>
          <w:sz w:val="21"/>
          <w:szCs w:val="21"/>
          <w:color w:val="auto"/>
        </w:rPr>
        <w:t>$ 13.63 $ 544,454,466.26 0.0001381</w:t>
      </w:r>
      <w:r>
        <w:rPr>
          <w:sz w:val="20"/>
          <w:szCs w:val="20"/>
          <w:color w:val="auto"/>
        </w:rPr>
        <w:tab/>
      </w:r>
      <w:r>
        <w:rPr>
          <w:rFonts w:ascii="Arial" w:cs="Arial" w:eastAsia="Arial" w:hAnsi="Arial"/>
          <w:sz w:val="20"/>
          <w:szCs w:val="20"/>
          <w:color w:val="auto"/>
        </w:rPr>
        <w:t>$ 75,189.16</w:t>
      </w:r>
    </w:p>
    <w:p>
      <w:pPr>
        <w:spacing w:after="0" w:line="1083" w:lineRule="exact"/>
        <w:rPr>
          <w:sz w:val="20"/>
          <w:szCs w:val="20"/>
          <w:color w:val="auto"/>
        </w:rPr>
      </w:pPr>
    </w:p>
    <w:p>
      <w:pPr>
        <w:sectPr>
          <w:pgSz w:w="11900" w:h="16838" w:orient="portrait"/>
          <w:cols w:equalWidth="0" w:num="2">
            <w:col w:w="4680" w:space="20"/>
            <w:col w:w="5340"/>
          </w:cols>
          <w:pgMar w:left="920" w:top="141" w:right="939" w:bottom="2" w:gutter="0" w:footer="0" w:header="0"/>
          <w:type w:val="continuous"/>
        </w:sectPr>
      </w:pPr>
    </w:p>
    <w:tbl>
      <w:tblPr>
        <w:tblLayout w:type="fixed"/>
        <w:tblInd w:w="2500" w:type="dxa"/>
        <w:tblCellMar>
          <w:top w:w="0" w:type="dxa"/>
          <w:left w:w="0" w:type="dxa"/>
          <w:bottom w:w="0" w:type="dxa"/>
          <w:right w:w="0" w:type="dxa"/>
        </w:tblCellMar>
      </w:tblPr>
      <w:tr>
        <w:trPr>
          <w:trHeight w:val="241"/>
        </w:trPr>
        <w:tc>
          <w:tcPr>
            <w:tcW w:w="2800" w:type="dxa"/>
            <w:vAlign w:val="bottom"/>
          </w:tcPr>
          <w:p>
            <w:pPr>
              <w:jc w:val="right"/>
              <w:ind w:right="536"/>
              <w:spacing w:after="0"/>
              <w:rPr>
                <w:sz w:val="20"/>
                <w:szCs w:val="20"/>
                <w:color w:val="auto"/>
              </w:rPr>
            </w:pPr>
            <w:r>
              <w:rPr>
                <w:rFonts w:ascii="Arial" w:cs="Arial" w:eastAsia="Arial" w:hAnsi="Arial"/>
                <w:sz w:val="21"/>
                <w:szCs w:val="21"/>
                <w:color w:val="auto"/>
                <w:w w:val="96"/>
              </w:rPr>
              <w:t>Total Offering Amounts:</w:t>
            </w:r>
          </w:p>
        </w:tc>
        <w:tc>
          <w:tcPr>
            <w:tcW w:w="2900" w:type="dxa"/>
            <w:vAlign w:val="bottom"/>
          </w:tcPr>
          <w:p>
            <w:pPr>
              <w:jc w:val="right"/>
              <w:ind w:right="536"/>
              <w:spacing w:after="0"/>
              <w:rPr>
                <w:sz w:val="20"/>
                <w:szCs w:val="20"/>
                <w:color w:val="auto"/>
              </w:rPr>
            </w:pPr>
            <w:r>
              <w:rPr>
                <w:rFonts w:ascii="Arial" w:cs="Arial" w:eastAsia="Arial" w:hAnsi="Arial"/>
                <w:sz w:val="21"/>
                <w:szCs w:val="21"/>
                <w:color w:val="auto"/>
              </w:rPr>
              <w:t>$</w:t>
            </w:r>
          </w:p>
        </w:tc>
        <w:tc>
          <w:tcPr>
            <w:tcW w:w="1820" w:type="dxa"/>
            <w:vAlign w:val="bottom"/>
          </w:tcPr>
          <w:p>
            <w:pPr>
              <w:jc w:val="right"/>
              <w:spacing w:after="0"/>
              <w:rPr>
                <w:sz w:val="20"/>
                <w:szCs w:val="20"/>
                <w:color w:val="auto"/>
              </w:rPr>
            </w:pPr>
            <w:r>
              <w:rPr>
                <w:rFonts w:ascii="Arial" w:cs="Arial" w:eastAsia="Arial" w:hAnsi="Arial"/>
                <w:sz w:val="21"/>
                <w:szCs w:val="21"/>
                <w:color w:val="auto"/>
              </w:rPr>
              <w:t>$ 238,120.24</w:t>
            </w:r>
          </w:p>
        </w:tc>
      </w:tr>
      <w:tr>
        <w:trPr>
          <w:trHeight w:val="274"/>
        </w:trPr>
        <w:tc>
          <w:tcPr>
            <w:tcW w:w="2800" w:type="dxa"/>
            <w:vAlign w:val="bottom"/>
          </w:tcPr>
          <w:p>
            <w:pPr>
              <w:spacing w:after="0"/>
              <w:rPr>
                <w:sz w:val="23"/>
                <w:szCs w:val="23"/>
                <w:color w:val="auto"/>
              </w:rPr>
            </w:pPr>
          </w:p>
        </w:tc>
        <w:tc>
          <w:tcPr>
            <w:tcW w:w="2900" w:type="dxa"/>
            <w:vAlign w:val="bottom"/>
          </w:tcPr>
          <w:p>
            <w:pPr>
              <w:jc w:val="right"/>
              <w:ind w:right="536"/>
              <w:spacing w:after="0"/>
              <w:rPr>
                <w:sz w:val="20"/>
                <w:szCs w:val="20"/>
                <w:color w:val="auto"/>
              </w:rPr>
            </w:pPr>
            <w:r>
              <w:rPr>
                <w:rFonts w:ascii="Arial" w:cs="Arial" w:eastAsia="Arial" w:hAnsi="Arial"/>
                <w:sz w:val="21"/>
                <w:szCs w:val="21"/>
                <w:color w:val="auto"/>
              </w:rPr>
              <w:t>1,724,259,466.26</w:t>
            </w:r>
          </w:p>
        </w:tc>
        <w:tc>
          <w:tcPr>
            <w:tcW w:w="1820" w:type="dxa"/>
            <w:vAlign w:val="bottom"/>
          </w:tcPr>
          <w:p>
            <w:pPr>
              <w:spacing w:after="0"/>
              <w:rPr>
                <w:sz w:val="23"/>
                <w:szCs w:val="23"/>
                <w:color w:val="auto"/>
              </w:rPr>
            </w:pPr>
          </w:p>
        </w:tc>
      </w:tr>
      <w:tr>
        <w:trPr>
          <w:trHeight w:val="285"/>
        </w:trPr>
        <w:tc>
          <w:tcPr>
            <w:tcW w:w="2800" w:type="dxa"/>
            <w:vAlign w:val="bottom"/>
          </w:tcPr>
          <w:p>
            <w:pPr>
              <w:jc w:val="right"/>
              <w:ind w:right="536"/>
              <w:spacing w:after="0"/>
              <w:rPr>
                <w:sz w:val="20"/>
                <w:szCs w:val="20"/>
                <w:color w:val="auto"/>
              </w:rPr>
            </w:pPr>
            <w:r>
              <w:rPr>
                <w:rFonts w:ascii="Arial" w:cs="Arial" w:eastAsia="Arial" w:hAnsi="Arial"/>
                <w:sz w:val="21"/>
                <w:szCs w:val="21"/>
                <w:color w:val="auto"/>
              </w:rPr>
              <w:t>Total Fee Offsets:</w:t>
            </w:r>
          </w:p>
        </w:tc>
        <w:tc>
          <w:tcPr>
            <w:tcW w:w="2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1"/>
                <w:szCs w:val="21"/>
                <w:color w:val="auto"/>
              </w:rPr>
              <w:t>$ 0.00</w:t>
            </w:r>
          </w:p>
        </w:tc>
      </w:tr>
      <w:tr>
        <w:trPr>
          <w:trHeight w:val="285"/>
        </w:trPr>
        <w:tc>
          <w:tcPr>
            <w:tcW w:w="2800" w:type="dxa"/>
            <w:vAlign w:val="bottom"/>
          </w:tcPr>
          <w:p>
            <w:pPr>
              <w:jc w:val="right"/>
              <w:ind w:right="536"/>
              <w:spacing w:after="0"/>
              <w:rPr>
                <w:sz w:val="20"/>
                <w:szCs w:val="20"/>
                <w:color w:val="auto"/>
              </w:rPr>
            </w:pPr>
            <w:r>
              <w:rPr>
                <w:rFonts w:ascii="Arial" w:cs="Arial" w:eastAsia="Arial" w:hAnsi="Arial"/>
                <w:sz w:val="21"/>
                <w:szCs w:val="21"/>
                <w:color w:val="auto"/>
              </w:rPr>
              <w:t>Net Fee Due:</w:t>
            </w:r>
          </w:p>
        </w:tc>
        <w:tc>
          <w:tcPr>
            <w:tcW w:w="2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21"/>
                <w:szCs w:val="21"/>
                <w:color w:val="auto"/>
              </w:rPr>
              <w:t>$ 238,120.24</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70" w:lineRule="exact"/>
        <w:rPr>
          <w:sz w:val="20"/>
          <w:szCs w:val="20"/>
          <w:color w:val="auto"/>
        </w:rPr>
      </w:pPr>
    </w:p>
    <w:p>
      <w:pPr>
        <w:ind w:left="220" w:right="280"/>
        <w:spacing w:after="0" w:line="239" w:lineRule="auto"/>
        <w:rPr>
          <w:sz w:val="20"/>
          <w:szCs w:val="20"/>
          <w:color w:val="auto"/>
        </w:rPr>
      </w:pPr>
      <w:r>
        <w:rPr>
          <w:rFonts w:ascii="Arial" w:cs="Arial" w:eastAsia="Arial" w:hAnsi="Arial"/>
          <w:sz w:val="21"/>
          <w:szCs w:val="21"/>
          <w:color w:val="auto"/>
        </w:rPr>
        <w:t>1.a. Pursuant to Rule 416(a) promulgated under the Securities Act of 1933, as amended (the "Securities Act"), this Registration Statement shall also cover any additional shares of common stock that become issuable under the plans set forth herein by reason of any stock dividend, stock split, recapitalization, or other similar transaction effected that results in an increase to the number of outstanding shares of common stock.</w:t>
      </w:r>
    </w:p>
    <w:p>
      <w:pPr>
        <w:spacing w:after="0" w:line="196" w:lineRule="exact"/>
        <w:rPr>
          <w:sz w:val="20"/>
          <w:szCs w:val="20"/>
          <w:color w:val="auto"/>
        </w:rPr>
      </w:pPr>
    </w:p>
    <w:p>
      <w:pPr>
        <w:ind w:left="220" w:right="60"/>
        <w:spacing w:after="0" w:line="236" w:lineRule="auto"/>
        <w:rPr>
          <w:sz w:val="20"/>
          <w:szCs w:val="20"/>
          <w:color w:val="auto"/>
        </w:rPr>
      </w:pPr>
      <w:r>
        <w:rPr>
          <w:rFonts w:ascii="Arial" w:cs="Arial" w:eastAsia="Arial" w:hAnsi="Arial"/>
          <w:sz w:val="21"/>
          <w:szCs w:val="21"/>
          <w:color w:val="auto"/>
        </w:rPr>
        <w:t>1.b. Represents (i) shares of Class A common stock reserved for future issuance pursuant to stock options, restricted stock units ("RSUs"), and other awards under the Registrant's 2025 Equity Incentive Plan (the "2025 Plan") and (ii) additional shares of Class A common stock that will become available for future issuance pursuant to equity awards under the 2025 Plan to the extent that RSUs outstanding under the Registrant's 2015 Equity Incentive Plan, as amended (the "2015 Plan") immediately prior to the filing of this Registration Statement expire, terminate prior to settlement, are not issued because the award is settled in cash, are forfeited because of the failure to vest, or are reacquired or withheld (or not issued) to satisfy a tax withholding obligation. See footnote 7.</w:t>
      </w:r>
    </w:p>
    <w:p>
      <w:pPr>
        <w:sectPr>
          <w:pgSz w:w="11900" w:h="16838" w:orient="portrait"/>
          <w:cols w:equalWidth="0" w:num="1">
            <w:col w:w="10040"/>
          </w:cols>
          <w:pgMar w:left="920" w:top="141" w:right="939" w:bottom="2" w:gutter="0" w:footer="0" w:header="0"/>
          <w:type w:val="continuous"/>
        </w:sectPr>
      </w:pPr>
    </w:p>
    <w:bookmarkStart w:id="9" w:name="page10"/>
    <w:bookmarkEnd w:id="9"/>
    <w:p>
      <w:pPr>
        <w:spacing w:after="0" w:line="62" w:lineRule="exact"/>
        <w:rPr>
          <w:sz w:val="20"/>
          <w:szCs w:val="20"/>
          <w:color w:val="auto"/>
        </w:rPr>
      </w:pPr>
    </w:p>
    <w:p>
      <w:pPr>
        <w:ind w:left="820" w:right="740"/>
        <w:spacing w:after="0" w:line="238" w:lineRule="auto"/>
        <w:rPr>
          <w:sz w:val="20"/>
          <w:szCs w:val="20"/>
          <w:color w:val="auto"/>
        </w:rPr>
      </w:pPr>
      <w:r>
        <w:rPr>
          <w:rFonts w:ascii="Arial" w:cs="Arial" w:eastAsia="Arial" w:hAnsi="Arial"/>
          <w:sz w:val="21"/>
          <w:szCs w:val="21"/>
          <w:color w:val="auto"/>
        </w:rPr>
        <w:t>1.c. The number of shares reserved for issuance under the 2025 Plan will automatically increase on February 1 of each fiscal year for a period of ten years, commencing on February 1, 2026 and ending on (and including) February 1, 2036, in an amount equal to 5% of the total number of shares of common stock outstanding on January 31 of the preceding fiscal year; provided, however that the Registrant's board of directors (or its designee) may act prior to February 1 of a given fiscal year to provide that the increase for such year will be a lesser number of shares of Class A common stock.</w:t>
      </w:r>
    </w:p>
    <w:p>
      <w:pPr>
        <w:spacing w:after="0" w:line="195" w:lineRule="exact"/>
        <w:rPr>
          <w:sz w:val="20"/>
          <w:szCs w:val="20"/>
          <w:color w:val="auto"/>
        </w:rPr>
      </w:pPr>
    </w:p>
    <w:p>
      <w:pPr>
        <w:ind w:left="820" w:right="740"/>
        <w:spacing w:after="0" w:line="242" w:lineRule="auto"/>
        <w:rPr>
          <w:sz w:val="20"/>
          <w:szCs w:val="20"/>
          <w:color w:val="auto"/>
        </w:rPr>
      </w:pPr>
      <w:r>
        <w:rPr>
          <w:rFonts w:ascii="Arial" w:cs="Arial" w:eastAsia="Arial" w:hAnsi="Arial"/>
          <w:sz w:val="21"/>
          <w:szCs w:val="21"/>
          <w:color w:val="auto"/>
        </w:rPr>
        <w:t>1.d. Estimated in accordance with Rule 457(h) promulgated under the Securities Act solely for the purpose of calculating the registration fee on the basis of the initial public offering price of $25.00 per share of Class A common stock pursuant to the Registrant's Registration Statement on Form S-1 (File No. 333-290396), which became effective on 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76200</wp:posOffset>
            </wp:positionV>
            <wp:extent cx="6398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2</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21"/>
          <w:szCs w:val="21"/>
          <w:color w:val="auto"/>
        </w:rPr>
        <w:t>See note 1.a. above.</w:t>
      </w:r>
    </w:p>
    <w:p>
      <w:pPr>
        <w:spacing w:after="0" w:line="225" w:lineRule="exact"/>
        <w:rPr>
          <w:sz w:val="20"/>
          <w:szCs w:val="20"/>
          <w:color w:val="auto"/>
        </w:rPr>
      </w:pPr>
    </w:p>
    <w:p>
      <w:pPr>
        <w:ind w:left="820" w:right="760"/>
        <w:spacing w:after="0" w:line="235" w:lineRule="auto"/>
        <w:rPr>
          <w:sz w:val="20"/>
          <w:szCs w:val="20"/>
          <w:color w:val="auto"/>
        </w:rPr>
      </w:pPr>
      <w:r>
        <w:rPr>
          <w:rFonts w:ascii="Arial" w:cs="Arial" w:eastAsia="Arial" w:hAnsi="Arial"/>
          <w:sz w:val="21"/>
          <w:szCs w:val="21"/>
          <w:color w:val="auto"/>
        </w:rPr>
        <w:t>2.a. Represents shares of Class A common stock reserved for future issuance under the Registrant's 2025 Employee Stock Purchase Plan (the "ESPP"). The number of shares reserved for issuance under the ESPP will automatically increase on February 1 of each year for a period of ten years, commencing on February 1, 2026 and ending on (and including) February 1, 2035, in an amount equal to the lesser of (i) 1% of the total number of shares of common stock outstanding on January 31 of the preceding fiscal year, and (ii) 5,000,000 shares of Class A common stock. Notwithstanding the foregoing, the Registrant's board of directors (or its designee) may act prior to the first day of any fiscal year to provide that there will be no February 1 increase in the share reserve for such fiscal year or that the increase in the share reserve for such fiscal year will be a lesser number of shares of Class A common stock than would otherwise occur pursuant to the preceding sentence.</w:t>
      </w:r>
    </w:p>
    <w:p>
      <w:pPr>
        <w:spacing w:after="0" w:line="200" w:lineRule="exact"/>
        <w:rPr>
          <w:sz w:val="20"/>
          <w:szCs w:val="20"/>
          <w:color w:val="auto"/>
        </w:rPr>
      </w:pPr>
    </w:p>
    <w:p>
      <w:pPr>
        <w:ind w:left="820" w:right="780"/>
        <w:spacing w:after="0" w:line="254" w:lineRule="auto"/>
        <w:rPr>
          <w:sz w:val="20"/>
          <w:szCs w:val="20"/>
          <w:color w:val="auto"/>
        </w:rPr>
      </w:pPr>
      <w:r>
        <w:rPr>
          <w:rFonts w:ascii="Arial" w:cs="Arial" w:eastAsia="Arial" w:hAnsi="Arial"/>
          <w:sz w:val="20"/>
          <w:szCs w:val="20"/>
          <w:color w:val="auto"/>
        </w:rPr>
        <w:t>2.b. Estimated in accordance with Rule 457(h) promulgated under the Securities Act solely for the purpose of calculating the registration fee. The proposed maximum offering price per unit is based upon $21.25, which is the initial public offering price per share of Class A common stock pursuant to the Registrant's Registration Statement on Form S-1 (File No. 333-290396), which became effective on October 29, 2025, multiplied by 85%, which is the percentage of the price per share applicable to purchases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217805</wp:posOffset>
            </wp:positionV>
            <wp:extent cx="6398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3</w:t>
      </w:r>
    </w:p>
    <w:p>
      <w:pPr>
        <w:spacing w:after="0" w:line="70" w:lineRule="exact"/>
        <w:rPr>
          <w:sz w:val="20"/>
          <w:szCs w:val="20"/>
          <w:color w:val="auto"/>
        </w:rPr>
      </w:pPr>
    </w:p>
    <w:p>
      <w:pPr>
        <w:ind w:left="820"/>
        <w:spacing w:after="0"/>
        <w:rPr>
          <w:sz w:val="20"/>
          <w:szCs w:val="20"/>
          <w:color w:val="auto"/>
        </w:rPr>
      </w:pPr>
      <w:r>
        <w:rPr>
          <w:rFonts w:ascii="Arial" w:cs="Arial" w:eastAsia="Arial" w:hAnsi="Arial"/>
          <w:sz w:val="21"/>
          <w:szCs w:val="21"/>
          <w:color w:val="auto"/>
        </w:rPr>
        <w:t>See note 1.a. above.</w:t>
      </w:r>
    </w:p>
    <w:p>
      <w:pPr>
        <w:spacing w:after="0" w:line="225" w:lineRule="exact"/>
        <w:rPr>
          <w:sz w:val="20"/>
          <w:szCs w:val="20"/>
          <w:color w:val="auto"/>
        </w:rPr>
      </w:pPr>
    </w:p>
    <w:p>
      <w:pPr>
        <w:ind w:left="820" w:right="740"/>
        <w:spacing w:after="0" w:line="246" w:lineRule="auto"/>
        <w:rPr>
          <w:sz w:val="20"/>
          <w:szCs w:val="20"/>
          <w:color w:val="auto"/>
        </w:rPr>
      </w:pPr>
      <w:r>
        <w:rPr>
          <w:rFonts w:ascii="Arial" w:cs="Arial" w:eastAsia="Arial" w:hAnsi="Arial"/>
          <w:sz w:val="20"/>
          <w:szCs w:val="20"/>
          <w:color w:val="auto"/>
        </w:rPr>
        <w:t>3.a. Represents shares of Class A common stock issuable pursuant to stock options outstanding under the 2015 Plan immediately prior to the filing of this Registration Statement. The 2015 Plan has been terminated, and no further equity awards will be made pursuant to the 2015 Plan. The shares of Class A common stock reserved for issuance pursuant to such stock options will become available for issuance under the 2025 Plan to the extent any such shares (i) are not issued because such stock option or any portion thereof expires or otherwise terminates without all of the shares covered by such stock option having been issued, (ii) are not issued because such stock option or any portion thereof is settled in cash,</w:t>
      </w:r>
    </w:p>
    <w:p>
      <w:pPr>
        <w:spacing w:after="0" w:line="2" w:lineRule="exact"/>
        <w:rPr>
          <w:sz w:val="20"/>
          <w:szCs w:val="20"/>
          <w:color w:val="auto"/>
        </w:rPr>
      </w:pPr>
    </w:p>
    <w:p>
      <w:pPr>
        <w:ind w:left="820" w:right="900" w:firstLine="6"/>
        <w:spacing w:after="0" w:line="236" w:lineRule="auto"/>
        <w:tabs>
          <w:tab w:leader="none" w:pos="1154" w:val="left"/>
        </w:tabs>
        <w:numPr>
          <w:ilvl w:val="0"/>
          <w:numId w:val="10"/>
        </w:numPr>
        <w:rPr>
          <w:rFonts w:ascii="Arial" w:cs="Arial" w:eastAsia="Arial" w:hAnsi="Arial"/>
          <w:sz w:val="21"/>
          <w:szCs w:val="21"/>
          <w:color w:val="auto"/>
        </w:rPr>
      </w:pPr>
      <w:r>
        <w:rPr>
          <w:rFonts w:ascii="Arial" w:cs="Arial" w:eastAsia="Arial" w:hAnsi="Arial"/>
          <w:sz w:val="21"/>
          <w:szCs w:val="21"/>
          <w:color w:val="auto"/>
        </w:rPr>
        <w:t>are forfeited back to or repurchased by the Registrant because of the failure to meet a contingency or condition required for the vesting of such shares, (iv) are withheld or reacquired to satisfy the exercise, strike, or purchase price, or (v) are withheld or reacquired to satisfy a tax withholding obligation. See footnote 3 above.</w:t>
      </w:r>
    </w:p>
    <w:p>
      <w:pPr>
        <w:spacing w:after="0" w:line="196" w:lineRule="exact"/>
        <w:rPr>
          <w:sz w:val="20"/>
          <w:szCs w:val="20"/>
          <w:color w:val="auto"/>
        </w:rPr>
      </w:pPr>
    </w:p>
    <w:p>
      <w:pPr>
        <w:jc w:val="both"/>
        <w:ind w:left="820" w:right="780"/>
        <w:spacing w:after="0" w:line="265" w:lineRule="auto"/>
        <w:rPr>
          <w:sz w:val="20"/>
          <w:szCs w:val="20"/>
          <w:color w:val="auto"/>
        </w:rPr>
      </w:pPr>
      <w:r>
        <w:rPr>
          <w:rFonts w:ascii="Arial" w:cs="Arial" w:eastAsia="Arial" w:hAnsi="Arial"/>
          <w:sz w:val="20"/>
          <w:szCs w:val="20"/>
          <w:color w:val="auto"/>
        </w:rPr>
        <w:t>3.b. Estimated in accordance with Rule 457(h) promulgated under the Securities Act solely for the purpose of calculating the registration fee. The proposed maximum offering price per unit is based upon $13.63 per share, which is the weighted-average exercise price of the stock options outstanding under the 2015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62865</wp:posOffset>
            </wp:positionV>
            <wp:extent cx="6398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398260" cy="419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4380" w:type="dxa"/>
            <w:vAlign w:val="bottom"/>
            <w:tcBorders>
              <w:bottom w:val="single" w:sz="8" w:color="auto"/>
            </w:tcBorders>
            <w:gridSpan w:val="12"/>
          </w:tcPr>
          <w:p>
            <w:pPr>
              <w:ind w:left="40"/>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jc w:val="center"/>
              <w:spacing w:after="0" w:line="220"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Security</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Unsold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Aggregate</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Borders>
              <w:left w:val="single" w:sz="8" w:color="auto"/>
            </w:tcBorders>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w w:val="98"/>
              </w:rPr>
              <w:t>Registrant</w:t>
            </w:r>
          </w:p>
        </w:tc>
        <w:tc>
          <w:tcPr>
            <w:tcW w:w="20" w:type="dxa"/>
            <w:vAlign w:val="bottom"/>
          </w:tcPr>
          <w:p>
            <w:pPr>
              <w:spacing w:after="0"/>
              <w:rPr>
                <w:sz w:val="24"/>
                <w:szCs w:val="24"/>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Form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Initial</w:t>
            </w:r>
          </w:p>
        </w:tc>
        <w:tc>
          <w:tcPr>
            <w:tcW w:w="20" w:type="dxa"/>
            <w:vAlign w:val="bottom"/>
          </w:tcPr>
          <w:p>
            <w:pPr>
              <w:spacing w:after="0"/>
              <w:rPr>
                <w:sz w:val="24"/>
                <w:szCs w:val="24"/>
                <w:color w:val="auto"/>
              </w:rPr>
            </w:pPr>
          </w:p>
        </w:tc>
        <w:tc>
          <w:tcPr>
            <w:tcW w:w="5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jc w:val="right"/>
              <w:ind w:right="136"/>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3"/>
              </w:rPr>
              <w:t>Type</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4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Securities</w:t>
            </w:r>
          </w:p>
        </w:tc>
        <w:tc>
          <w:tcPr>
            <w:tcW w:w="20" w:type="dxa"/>
            <w:vAlign w:val="bottom"/>
          </w:tcPr>
          <w:p>
            <w:pPr>
              <w:spacing w:after="0"/>
              <w:rPr>
                <w:sz w:val="24"/>
                <w:szCs w:val="24"/>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4"/>
                <w:szCs w:val="24"/>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or</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Filing</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ind w:left="120"/>
              <w:spacing w:after="0" w:line="233"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Associated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Amount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82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Number</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58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6"/>
              </w:rPr>
              <w:t>Date</w:t>
            </w:r>
          </w:p>
        </w:tc>
        <w:tc>
          <w:tcPr>
            <w:tcW w:w="40" w:type="dxa"/>
            <w:vAlign w:val="bottom"/>
          </w:tcPr>
          <w:p>
            <w:pPr>
              <w:spacing w:after="0"/>
              <w:rPr>
                <w:sz w:val="20"/>
                <w:szCs w:val="20"/>
                <w:color w:val="auto"/>
              </w:rPr>
            </w:pPr>
          </w:p>
        </w:tc>
        <w:tc>
          <w:tcPr>
            <w:tcW w:w="840" w:type="dxa"/>
            <w:vAlign w:val="bottom"/>
            <w:shd w:val="clear" w:color="auto" w:fill="9ADAF6"/>
          </w:tcPr>
          <w:p>
            <w:pPr>
              <w:jc w:val="right"/>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with Fee</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Associated</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2"/>
                <w:szCs w:val="12"/>
                <w:color w:val="auto"/>
              </w:rPr>
            </w:pPr>
          </w:p>
        </w:tc>
        <w:tc>
          <w:tcPr>
            <w:tcW w:w="8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4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4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7"/>
              </w:rPr>
              <w:t>Claimed</w:t>
            </w:r>
          </w:p>
        </w:tc>
        <w:tc>
          <w:tcPr>
            <w:tcW w:w="20" w:type="dxa"/>
            <w:vAlign w:val="bottom"/>
          </w:tcPr>
          <w:p>
            <w:pPr>
              <w:spacing w:after="0"/>
              <w:rPr>
                <w:sz w:val="20"/>
                <w:szCs w:val="20"/>
                <w:color w:val="auto"/>
              </w:rPr>
            </w:pPr>
          </w:p>
        </w:tc>
        <w:tc>
          <w:tcPr>
            <w:tcW w:w="11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5"/>
              </w:rPr>
              <w:t>Offset</w:t>
            </w:r>
          </w:p>
        </w:tc>
        <w:tc>
          <w:tcPr>
            <w:tcW w:w="20" w:type="dxa"/>
            <w:vAlign w:val="bottom"/>
          </w:tcPr>
          <w:p>
            <w:pPr>
              <w:spacing w:after="0"/>
              <w:rPr>
                <w:sz w:val="20"/>
                <w:szCs w:val="20"/>
                <w:color w:val="auto"/>
              </w:rPr>
            </w:pPr>
          </w:p>
        </w:tc>
        <w:tc>
          <w:tcPr>
            <w:tcW w:w="740" w:type="dxa"/>
            <w:vAlign w:val="bottom"/>
            <w:shd w:val="clear" w:color="auto" w:fill="9ADAF6"/>
          </w:tcPr>
          <w:p>
            <w:pPr>
              <w:jc w:val="center"/>
              <w:spacing w:after="0" w:line="233" w:lineRule="exact"/>
              <w:rPr>
                <w:sz w:val="20"/>
                <w:szCs w:val="20"/>
                <w:color w:val="auto"/>
              </w:rPr>
            </w:pPr>
            <w:r>
              <w:rPr>
                <w:rFonts w:ascii="Arial" w:cs="Arial" w:eastAsia="Arial" w:hAnsi="Arial"/>
                <w:sz w:val="21"/>
                <w:szCs w:val="21"/>
                <w:b w:val="1"/>
                <w:bCs w:val="1"/>
                <w:color w:val="auto"/>
                <w:w w:val="98"/>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3"/>
                <w:szCs w:val="23"/>
                <w:color w:val="auto"/>
              </w:rPr>
            </w:pPr>
          </w:p>
        </w:tc>
        <w:tc>
          <w:tcPr>
            <w:tcW w:w="740" w:type="dxa"/>
            <w:vAlign w:val="bottom"/>
            <w:shd w:val="clear" w:color="auto" w:fill="9ADAF6"/>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40" w:type="dxa"/>
            <w:vAlign w:val="bottom"/>
            <w:tcBorders>
              <w:lef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3"/>
          </w:tcPr>
          <w:p>
            <w:pPr>
              <w:ind w:left="100"/>
              <w:spacing w:after="0"/>
              <w:rPr>
                <w:sz w:val="20"/>
                <w:szCs w:val="20"/>
                <w:color w:val="auto"/>
              </w:rPr>
            </w:pPr>
            <w:r>
              <w:rPr>
                <w:rFonts w:ascii="Arial" w:cs="Arial" w:eastAsia="Arial" w:hAnsi="Arial"/>
                <w:sz w:val="21"/>
                <w:szCs w:val="21"/>
                <w:b w:val="1"/>
                <w:bCs w:val="1"/>
                <w:color w:val="auto"/>
              </w:rPr>
              <w:t>Rule 457(p)</w:t>
            </w: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Offset</w:t>
            </w:r>
          </w:p>
        </w:tc>
        <w:tc>
          <w:tcPr>
            <w:tcW w:w="20" w:type="dxa"/>
            <w:vAlign w:val="bottom"/>
          </w:tcPr>
          <w:p>
            <w:pPr>
              <w:spacing w:after="0"/>
              <w:rPr>
                <w:sz w:val="20"/>
                <w:szCs w:val="20"/>
                <w:color w:val="auto"/>
              </w:rPr>
            </w:pPr>
          </w:p>
        </w:tc>
        <w:tc>
          <w:tcPr>
            <w:tcW w:w="38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06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60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82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580" w:type="dxa"/>
            <w:vAlign w:val="bottom"/>
            <w:shd w:val="clear" w:color="auto" w:fill="E7E7E2"/>
          </w:tcPr>
          <w:p>
            <w:pPr>
              <w:jc w:val="center"/>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840" w:type="dxa"/>
            <w:vAlign w:val="bottom"/>
            <w:shd w:val="clear" w:color="auto" w:fill="E7E7E2"/>
          </w:tcPr>
          <w:p>
            <w:pPr>
              <w:jc w:val="right"/>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33"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1140" w:type="dxa"/>
            <w:vAlign w:val="bottom"/>
            <w:shd w:val="clear" w:color="auto" w:fill="E7E7E2"/>
          </w:tcPr>
          <w:p>
            <w:pPr>
              <w:ind w:left="780"/>
              <w:spacing w:after="0" w:line="233"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20"/>
                <w:szCs w:val="20"/>
                <w:color w:val="auto"/>
              </w:rPr>
            </w:pPr>
          </w:p>
        </w:tc>
        <w:tc>
          <w:tcPr>
            <w:tcW w:w="740" w:type="dxa"/>
            <w:vAlign w:val="bottom"/>
            <w:shd w:val="clear" w:color="auto" w:fill="E7E7E2"/>
          </w:tcPr>
          <w:p>
            <w:pPr>
              <w:ind w:left="380"/>
              <w:spacing w:after="0" w:line="233"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Claims</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40" w:type="dxa"/>
            <w:vAlign w:val="bottom"/>
            <w:tcBorders>
              <w:left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right w:val="single" w:sz="8" w:color="auto"/>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Fee</w:t>
            </w:r>
          </w:p>
        </w:tc>
        <w:tc>
          <w:tcPr>
            <w:tcW w:w="20" w:type="dxa"/>
            <w:vAlign w:val="bottom"/>
          </w:tcPr>
          <w:p>
            <w:pPr>
              <w:spacing w:after="0"/>
              <w:rPr>
                <w:sz w:val="19"/>
                <w:szCs w:val="19"/>
                <w:color w:val="auto"/>
              </w:rPr>
            </w:pPr>
          </w:p>
        </w:tc>
        <w:tc>
          <w:tcPr>
            <w:tcW w:w="38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vMerge w:val="continue"/>
          </w:tcPr>
          <w:p>
            <w:pPr>
              <w:spacing w:after="0"/>
              <w:rPr>
                <w:sz w:val="19"/>
                <w:szCs w:val="19"/>
                <w:color w:val="auto"/>
              </w:rPr>
            </w:pPr>
          </w:p>
        </w:tc>
        <w:tc>
          <w:tcPr>
            <w:tcW w:w="106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600" w:type="dxa"/>
            <w:vAlign w:val="bottom"/>
            <w:shd w:val="clear" w:color="auto" w:fill="E7E7E2"/>
          </w:tcPr>
          <w:p>
            <w:pPr>
              <w:jc w:val="center"/>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820" w:type="dxa"/>
            <w:vAlign w:val="bottom"/>
            <w:shd w:val="clear" w:color="auto" w:fill="E7E7E2"/>
          </w:tcPr>
          <w:p>
            <w:pPr>
              <w:jc w:val="center"/>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19"/>
                <w:szCs w:val="19"/>
                <w:color w:val="auto"/>
              </w:rPr>
            </w:pPr>
          </w:p>
        </w:tc>
        <w:tc>
          <w:tcPr>
            <w:tcW w:w="580" w:type="dxa"/>
            <w:vAlign w:val="bottom"/>
            <w:shd w:val="clear" w:color="auto" w:fill="E7E7E2"/>
          </w:tcPr>
          <w:p>
            <w:pPr>
              <w:jc w:val="center"/>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19"/>
                <w:szCs w:val="19"/>
                <w:color w:val="auto"/>
              </w:rPr>
            </w:pPr>
          </w:p>
        </w:tc>
        <w:tc>
          <w:tcPr>
            <w:tcW w:w="580" w:type="dxa"/>
            <w:vAlign w:val="bottom"/>
            <w:shd w:val="clear" w:color="auto" w:fill="E7E7E2"/>
          </w:tcPr>
          <w:p>
            <w:pPr>
              <w:jc w:val="center"/>
              <w:spacing w:after="0" w:line="220"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19"/>
                <w:szCs w:val="19"/>
                <w:color w:val="auto"/>
              </w:rPr>
            </w:pPr>
          </w:p>
        </w:tc>
        <w:tc>
          <w:tcPr>
            <w:tcW w:w="840" w:type="dxa"/>
            <w:vAlign w:val="bottom"/>
            <w:shd w:val="clear" w:color="auto" w:fill="E7E7E2"/>
          </w:tcPr>
          <w:p>
            <w:pPr>
              <w:jc w:val="right"/>
              <w:spacing w:after="0" w:line="220" w:lineRule="exact"/>
              <w:rPr>
                <w:sz w:val="20"/>
                <w:szCs w:val="20"/>
                <w:color w:val="auto"/>
              </w:rPr>
            </w:pPr>
            <w:r>
              <w:rPr>
                <w:rFonts w:ascii="Arial" w:cs="Arial" w:eastAsia="Arial" w:hAnsi="Arial"/>
                <w:sz w:val="21"/>
                <w:szCs w:val="21"/>
                <w:color w:val="auto"/>
              </w:rPr>
              <w:t>N/A</w:t>
            </w:r>
          </w:p>
        </w:tc>
        <w:tc>
          <w:tcPr>
            <w:tcW w:w="20" w:type="dxa"/>
            <w:vAlign w:val="bottom"/>
            <w:vMerge w:val="continue"/>
          </w:tcPr>
          <w:p>
            <w:pPr>
              <w:spacing w:after="0"/>
              <w:rPr>
                <w:sz w:val="19"/>
                <w:szCs w:val="19"/>
                <w:color w:val="auto"/>
              </w:rPr>
            </w:pPr>
          </w:p>
        </w:tc>
        <w:tc>
          <w:tcPr>
            <w:tcW w:w="114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N/A</w:t>
            </w:r>
          </w:p>
        </w:tc>
        <w:tc>
          <w:tcPr>
            <w:tcW w:w="20" w:type="dxa"/>
            <w:vAlign w:val="bottom"/>
          </w:tcPr>
          <w:p>
            <w:pPr>
              <w:spacing w:after="0"/>
              <w:rPr>
                <w:sz w:val="19"/>
                <w:szCs w:val="19"/>
                <w:color w:val="auto"/>
              </w:rPr>
            </w:pPr>
          </w:p>
        </w:tc>
        <w:tc>
          <w:tcPr>
            <w:tcW w:w="1140" w:type="dxa"/>
            <w:vAlign w:val="bottom"/>
            <w:shd w:val="clear" w:color="auto" w:fill="E7E7E2"/>
          </w:tcPr>
          <w:p>
            <w:pPr>
              <w:ind w:left="20"/>
              <w:spacing w:after="0" w:line="220" w:lineRule="exact"/>
              <w:rPr>
                <w:sz w:val="20"/>
                <w:szCs w:val="20"/>
                <w:color w:val="auto"/>
              </w:rPr>
            </w:pPr>
            <w:r>
              <w:rPr>
                <w:rFonts w:ascii="Arial" w:cs="Arial" w:eastAsia="Arial" w:hAnsi="Arial"/>
                <w:sz w:val="21"/>
                <w:szCs w:val="21"/>
                <w:color w:val="auto"/>
              </w:rPr>
              <w:t>N/A</w:t>
            </w:r>
          </w:p>
        </w:tc>
        <w:tc>
          <w:tcPr>
            <w:tcW w:w="40" w:type="dxa"/>
            <w:vAlign w:val="bottom"/>
          </w:tcPr>
          <w:p>
            <w:pPr>
              <w:spacing w:after="0"/>
              <w:rPr>
                <w:sz w:val="19"/>
                <w:szCs w:val="19"/>
                <w:color w:val="auto"/>
              </w:rPr>
            </w:pPr>
          </w:p>
        </w:tc>
        <w:tc>
          <w:tcPr>
            <w:tcW w:w="1140" w:type="dxa"/>
            <w:vAlign w:val="bottom"/>
            <w:shd w:val="clear" w:color="auto" w:fill="E7E7E2"/>
          </w:tcPr>
          <w:p>
            <w:pPr>
              <w:ind w:left="780"/>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19"/>
                <w:szCs w:val="19"/>
                <w:color w:val="auto"/>
              </w:rPr>
            </w:pPr>
          </w:p>
        </w:tc>
        <w:tc>
          <w:tcPr>
            <w:tcW w:w="1140" w:type="dxa"/>
            <w:vAlign w:val="bottom"/>
            <w:shd w:val="clear" w:color="auto" w:fill="E7E7E2"/>
          </w:tcPr>
          <w:p>
            <w:pPr>
              <w:ind w:left="780"/>
              <w:spacing w:after="0" w:line="220" w:lineRule="exact"/>
              <w:rPr>
                <w:sz w:val="20"/>
                <w:szCs w:val="20"/>
                <w:color w:val="auto"/>
              </w:rPr>
            </w:pPr>
            <w:r>
              <w:rPr>
                <w:rFonts w:ascii="Arial" w:cs="Arial" w:eastAsia="Arial" w:hAnsi="Arial"/>
                <w:sz w:val="21"/>
                <w:szCs w:val="21"/>
                <w:color w:val="auto"/>
                <w:w w:val="96"/>
              </w:rPr>
              <w:t>N/A</w:t>
            </w:r>
          </w:p>
        </w:tc>
        <w:tc>
          <w:tcPr>
            <w:tcW w:w="20" w:type="dxa"/>
            <w:vAlign w:val="bottom"/>
          </w:tcPr>
          <w:p>
            <w:pPr>
              <w:spacing w:after="0"/>
              <w:rPr>
                <w:sz w:val="19"/>
                <w:szCs w:val="19"/>
                <w:color w:val="auto"/>
              </w:rPr>
            </w:pPr>
          </w:p>
        </w:tc>
        <w:tc>
          <w:tcPr>
            <w:tcW w:w="740" w:type="dxa"/>
            <w:vAlign w:val="bottom"/>
            <w:shd w:val="clear" w:color="auto" w:fill="E7E7E2"/>
          </w:tcPr>
          <w:p>
            <w:pPr>
              <w:ind w:left="380"/>
              <w:spacing w:after="0" w:line="220" w:lineRule="exact"/>
              <w:rPr>
                <w:sz w:val="20"/>
                <w:szCs w:val="20"/>
                <w:color w:val="auto"/>
              </w:rPr>
            </w:pPr>
            <w:r>
              <w:rPr>
                <w:rFonts w:ascii="Arial" w:cs="Arial" w:eastAsia="Arial" w:hAnsi="Arial"/>
                <w:sz w:val="21"/>
                <w:szCs w:val="21"/>
                <w:color w:val="auto"/>
                <w:w w:val="96"/>
              </w:rPr>
              <w:t>N/A</w:t>
            </w:r>
          </w:p>
        </w:tc>
        <w:tc>
          <w:tcPr>
            <w:tcW w:w="8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tcBorders>
              <w:left w:val="single" w:sz="8" w:color="auto"/>
            </w:tcBorders>
          </w:tcPr>
          <w:p>
            <w:pPr>
              <w:spacing w:after="0"/>
              <w:rPr>
                <w:sz w:val="23"/>
                <w:szCs w:val="23"/>
                <w:color w:val="auto"/>
              </w:rPr>
            </w:pPr>
          </w:p>
        </w:tc>
        <w:tc>
          <w:tcPr>
            <w:tcW w:w="800" w:type="dxa"/>
            <w:vAlign w:val="bottom"/>
            <w:shd w:val="clear" w:color="auto" w:fill="E7E7E2"/>
          </w:tcPr>
          <w:p>
            <w:pPr>
              <w:ind w:left="20"/>
              <w:spacing w:after="0"/>
              <w:rPr>
                <w:sz w:val="20"/>
                <w:szCs w:val="20"/>
                <w:color w:val="auto"/>
              </w:rPr>
            </w:pPr>
            <w:r>
              <w:rPr>
                <w:rFonts w:ascii="Arial" w:cs="Arial" w:eastAsia="Arial" w:hAnsi="Arial"/>
                <w:sz w:val="21"/>
                <w:szCs w:val="21"/>
                <w:color w:val="auto"/>
              </w:rPr>
              <w:t>Offset</w:t>
            </w:r>
          </w:p>
        </w:tc>
        <w:tc>
          <w:tcPr>
            <w:tcW w:w="20" w:type="dxa"/>
            <w:vAlign w:val="bottom"/>
          </w:tcPr>
          <w:p>
            <w:pPr>
              <w:spacing w:after="0"/>
              <w:rPr>
                <w:sz w:val="23"/>
                <w:szCs w:val="23"/>
                <w:color w:val="auto"/>
              </w:rPr>
            </w:pPr>
          </w:p>
        </w:tc>
        <w:tc>
          <w:tcPr>
            <w:tcW w:w="3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shd w:val="clear" w:color="auto" w:fill="E7E7E2"/>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40" w:type="dxa"/>
            <w:vAlign w:val="bottom"/>
            <w:tcBorders>
              <w:left w:val="single" w:sz="8" w:color="auto"/>
            </w:tcBorders>
          </w:tcPr>
          <w:p>
            <w:pPr>
              <w:spacing w:after="0"/>
              <w:rPr>
                <w:sz w:val="6"/>
                <w:szCs w:val="6"/>
                <w:color w:val="auto"/>
              </w:rPr>
            </w:pPr>
          </w:p>
        </w:tc>
        <w:tc>
          <w:tcPr>
            <w:tcW w:w="8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shd w:val="clear" w:color="auto" w:fill="E7E7E2"/>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114" w:right="239" w:bottom="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shd w:val="clear" w:color="auto" w:fill="E7E7E2"/>
        </w:rPr>
        <w:t xml:space="preserve">Sources </w:t>
      </w:r>
      <w:r>
        <w:rPr>
          <w:sz w:val="1"/>
          <w:szCs w:val="1"/>
          <w:color w:val="auto"/>
        </w:rPr>
        <w:drawing>
          <wp:inline distT="0" distB="0" distL="0" distR="0">
            <wp:extent cx="238760" cy="1562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38760" cy="156210"/>
                    </a:xfrm>
                    <a:prstGeom prst="rect">
                      <a:avLst/>
                    </a:prstGeom>
                    <a:noFill/>
                    <a:ln>
                      <a:noFill/>
                    </a:ln>
                  </pic:spPr>
                </pic:pic>
              </a:graphicData>
            </a:graphic>
          </wp:inline>
        </w:drawing>
        <w:drawing>
          <wp:inline distT="0" distB="0" distL="0" distR="0">
            <wp:extent cx="674370" cy="1562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74370" cy="156210"/>
                    </a:xfrm>
                    <a:prstGeom prst="rect">
                      <a:avLst/>
                    </a:prstGeom>
                    <a:noFill/>
                    <a:ln>
                      <a:noFill/>
                    </a:ln>
                  </pic:spPr>
                </pic:pic>
              </a:graphicData>
            </a:graphic>
          </wp:inline>
        </w:drawing>
        <w:drawing>
          <wp:inline distT="0" distB="0" distL="0" distR="0">
            <wp:extent cx="370205" cy="1562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0205" cy="156210"/>
                    </a:xfrm>
                    <a:prstGeom prst="rect">
                      <a:avLst/>
                    </a:prstGeom>
                    <a:noFill/>
                    <a:ln>
                      <a:noFill/>
                    </a:ln>
                  </pic:spPr>
                </pic:pic>
              </a:graphicData>
            </a:graphic>
          </wp:inline>
        </w:drawing>
        <w:drawing>
          <wp:inline distT="0" distB="0" distL="0" distR="0">
            <wp:extent cx="518160" cy="1562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518160" cy="156210"/>
                    </a:xfrm>
                    <a:prstGeom prst="rect">
                      <a:avLst/>
                    </a:prstGeom>
                    <a:noFill/>
                    <a:ln>
                      <a:noFill/>
                    </a:ln>
                  </pic:spPr>
                </pic:pic>
              </a:graphicData>
            </a:graphic>
          </wp:inline>
        </w:drawing>
        <w:drawing>
          <wp:inline distT="0" distB="0" distL="0" distR="0">
            <wp:extent cx="370205" cy="15621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70205" cy="156210"/>
                    </a:xfrm>
                    <a:prstGeom prst="rect">
                      <a:avLst/>
                    </a:prstGeom>
                    <a:noFill/>
                    <a:ln>
                      <a:noFill/>
                    </a:ln>
                  </pic:spPr>
                </pic:pic>
              </a:graphicData>
            </a:graphic>
          </wp:inline>
        </w:drawing>
        <w:drawing>
          <wp:inline distT="0" distB="0" distL="0" distR="0">
            <wp:extent cx="370205" cy="1562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70205" cy="156210"/>
                    </a:xfrm>
                    <a:prstGeom prst="rect">
                      <a:avLst/>
                    </a:prstGeom>
                    <a:noFill/>
                    <a:ln>
                      <a:noFill/>
                    </a:ln>
                  </pic:spPr>
                </pic:pic>
              </a:graphicData>
            </a:graphic>
          </wp:inline>
        </w:drawing>
        <w:drawing>
          <wp:inline distT="0" distB="0" distL="0" distR="0">
            <wp:extent cx="534670" cy="1562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534670" cy="156210"/>
                    </a:xfrm>
                    <a:prstGeom prst="rect">
                      <a:avLst/>
                    </a:prstGeom>
                    <a:noFill/>
                    <a:ln>
                      <a:noFill/>
                    </a:ln>
                  </pic:spPr>
                </pic:pic>
              </a:graphicData>
            </a:graphic>
          </wp:inline>
        </w:drawing>
        <w:drawing>
          <wp:inline distT="0" distB="0" distL="0" distR="0">
            <wp:extent cx="723900" cy="1562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723900" cy="15621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723900" cy="1562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723900" cy="15621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23900" cy="156210"/>
                    </a:xfrm>
                    <a:prstGeom prst="rect">
                      <a:avLst/>
                    </a:prstGeom>
                    <a:noFill/>
                    <a:ln>
                      <a:noFill/>
                    </a:ln>
                  </pic:spPr>
                </pic:pic>
              </a:graphicData>
            </a:graphic>
          </wp:inline>
        </w:drawing>
        <w:drawing>
          <wp:inline distT="0" distB="0" distL="0" distR="0">
            <wp:extent cx="468630" cy="1562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468630" cy="156210"/>
                    </a:xfrm>
                    <a:prstGeom prst="rect">
                      <a:avLst/>
                    </a:prstGeom>
                    <a:noFill/>
                    <a:ln>
                      <a:noFill/>
                    </a:ln>
                  </pic:spPr>
                </pic:pic>
              </a:graphicData>
            </a:graphic>
          </wp:inline>
        </w:drawing>
        <w:drawing>
          <wp:inline distT="0" distB="0" distL="0" distR="0">
            <wp:extent cx="5080" cy="18288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5080" cy="1828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-182245</wp:posOffset>
            </wp:positionV>
            <wp:extent cx="7200900" cy="182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200900" cy="182880"/>
                    </a:xfrm>
                    <a:prstGeom prst="rect">
                      <a:avLst/>
                    </a:prstGeom>
                    <a:noFill/>
                  </pic:spPr>
                </pic:pic>
              </a:graphicData>
            </a:graphic>
          </wp:anchor>
        </w:drawing>
      </w:r>
    </w:p>
    <w:p>
      <w:pPr>
        <w:sectPr>
          <w:pgSz w:w="11900" w:h="16838" w:orient="portrait"/>
          <w:cols w:equalWidth="0" w:num="1">
            <w:col w:w="11280"/>
          </w:cols>
          <w:pgMar w:left="380" w:top="108" w:right="239" w:bottom="1440" w:gutter="0" w:footer="0" w:header="0"/>
        </w:sectPr>
      </w:pPr>
    </w:p>
    <w:bookmarkStart w:id="11" w:name="page12"/>
    <w:bookmarkEnd w:id="11"/>
    <w:p>
      <w:pPr>
        <w:ind w:left="1042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-118745</wp:posOffset>
            </wp:positionV>
            <wp:extent cx="1184275" cy="386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84275" cy="386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9"/>
          <w:szCs w:val="19"/>
          <w:color w:val="auto"/>
        </w:rPr>
        <w:t>John T. McKenna</w:t>
      </w:r>
    </w:p>
    <w:p>
      <w:pPr>
        <w:spacing w:after="0" w:line="20" w:lineRule="exact"/>
        <w:rPr>
          <w:sz w:val="20"/>
          <w:szCs w:val="20"/>
          <w:color w:val="auto"/>
        </w:rPr>
      </w:pPr>
    </w:p>
    <w:p>
      <w:pPr>
        <w:ind w:left="20" w:right="9260" w:firstLine="1"/>
        <w:spacing w:after="0" w:line="284"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+1 650 843 5059 jmckenna@cooley.com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October 30, 2025</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Navan, Inc.</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3045 Park Boulevard</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Palo Alto, CA 94306</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have acted as counsel to Navan,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filing by the Company of a Registration Statement on Form S-8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covering the offering of up to 87,887,502 shares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of the Company’s Class A Common Stock, par value $0.00000625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consisting of (a) 39,945,302 shares of Common Stock issuable pursuant to the Company’s 2015 Equity Incentive Plan, as amended (the “</w:t>
      </w:r>
      <w:r>
        <w:rPr>
          <w:rFonts w:ascii="Arial" w:cs="Arial" w:eastAsia="Arial" w:hAnsi="Arial"/>
          <w:sz w:val="19"/>
          <w:szCs w:val="19"/>
          <w:b w:val="1"/>
          <w:bCs w:val="1"/>
          <w:i w:val="1"/>
          <w:iCs w:val="1"/>
          <w:color w:val="auto"/>
        </w:rPr>
        <w:t>2015 Plan</w:t>
      </w:r>
      <w:r>
        <w:rPr>
          <w:rFonts w:ascii="Arial" w:cs="Arial" w:eastAsia="Arial" w:hAnsi="Arial"/>
          <w:sz w:val="19"/>
          <w:szCs w:val="19"/>
          <w:color w:val="auto"/>
        </w:rPr>
        <w:t>”), (b) 42,942,200 shares of Common Stock issuable pursuant to the Company’s 2025 Equity Incentive Plan (the “</w:t>
      </w:r>
      <w:r>
        <w:rPr>
          <w:rFonts w:ascii="Arial" w:cs="Arial" w:eastAsia="Arial" w:hAnsi="Arial"/>
          <w:sz w:val="19"/>
          <w:szCs w:val="19"/>
          <w:b w:val="1"/>
          <w:bCs w:val="1"/>
          <w:i w:val="1"/>
          <w:iCs w:val="1"/>
          <w:color w:val="auto"/>
        </w:rPr>
        <w:t>2025 Plan</w:t>
      </w:r>
      <w:r>
        <w:rPr>
          <w:rFonts w:ascii="Arial" w:cs="Arial" w:eastAsia="Arial" w:hAnsi="Arial"/>
          <w:sz w:val="19"/>
          <w:szCs w:val="19"/>
          <w:color w:val="auto"/>
        </w:rPr>
        <w:t>”), and (c) 5,000,000 shares of the Common Stock issuable pursuant to the Company’s 2025 Employee Stock Purchase Plan (together with the 2015 Plan and the 2025 Plan, the “</w:t>
      </w:r>
      <w:r>
        <w:rPr>
          <w:rFonts w:ascii="Arial" w:cs="Arial" w:eastAsia="Arial" w:hAnsi="Arial"/>
          <w:sz w:val="19"/>
          <w:szCs w:val="19"/>
          <w:b w:val="1"/>
          <w:bCs w:val="1"/>
          <w:i w:val="1"/>
          <w:iCs w:val="1"/>
          <w:color w:val="auto"/>
        </w:rPr>
        <w:t>Plans</w:t>
      </w:r>
      <w:r>
        <w:rPr>
          <w:rFonts w:ascii="Arial" w:cs="Arial" w:eastAsia="Arial" w:hAnsi="Arial"/>
          <w:sz w:val="19"/>
          <w:szCs w:val="19"/>
          <w:color w:val="auto"/>
        </w:rPr>
        <w:t>”).</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Cooley LLP 3175 Hanover Street Palo Alto, CA 94304-1130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 +1 650 843-5000 f: +1 650 849 7400 cooley.com</w:t>
      </w:r>
    </w:p>
    <w:p>
      <w:pPr>
        <w:sectPr>
          <w:pgSz w:w="11900" w:h="16838" w:orient="portrait"/>
          <w:cols w:equalWidth="0" w:num="1">
            <w:col w:w="11240"/>
          </w:cols>
          <w:pgMar w:left="320" w:top="158"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213995</wp:posOffset>
            </wp:positionH>
            <wp:positionV relativeFrom="page">
              <wp:posOffset>105410</wp:posOffset>
            </wp:positionV>
            <wp:extent cx="1101725" cy="361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01725" cy="361950"/>
                    </a:xfrm>
                    <a:prstGeom prst="rect">
                      <a:avLst/>
                    </a:prstGeom>
                    <a:noFill/>
                  </pic:spPr>
                </pic:pic>
              </a:graphicData>
            </a:graphic>
          </wp:anchor>
        </w:drawing>
        <w:t>October 30, 2025</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9"/>
          <w:szCs w:val="19"/>
          <w:color w:val="auto"/>
        </w:rPr>
        <w:t>Page Two</w:t>
      </w:r>
    </w:p>
    <w:p>
      <w:pPr>
        <w:spacing w:after="0" w:line="32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9"/>
          <w:szCs w:val="19"/>
          <w:color w:val="auto"/>
        </w:rPr>
        <w:t>Sincerely,</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9"/>
          <w:szCs w:val="19"/>
          <w:color w:val="auto"/>
        </w:rPr>
        <w:t>By:</w:t>
        <w:tab/>
        <w:t>/s/ John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22860</wp:posOffset>
            </wp:positionV>
            <wp:extent cx="27057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2705735" cy="8255"/>
                    </a:xfrm>
                    <a:prstGeom prst="rect">
                      <a:avLst/>
                    </a:prstGeom>
                    <a:noFill/>
                  </pic:spPr>
                </pic:pic>
              </a:graphicData>
            </a:graphic>
          </wp:anchor>
        </w:drawing>
      </w:r>
    </w:p>
    <w:p>
      <w:pPr>
        <w:spacing w:after="0" w:line="2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John T. McKenna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Cooley LLP 3175 Hanover Street Palo Alto, CA 94304-1130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 +1 650 843-5000 f: +1 650 849 7400 cooley.com</w:t>
      </w:r>
    </w:p>
    <w:p>
      <w:pPr>
        <w:sectPr>
          <w:pgSz w:w="11900" w:h="16838" w:orient="portrait"/>
          <w:cols w:equalWidth="0" w:num="1">
            <w:col w:w="11240"/>
          </w:cols>
          <w:pgMar w:left="320" w:top="1038"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Georgia" w:cs="Georgia" w:eastAsia="Georgia" w:hAnsi="Georgia"/>
          <w:sz w:val="17"/>
          <w:szCs w:val="17"/>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57" w:lineRule="auto"/>
        <w:rPr>
          <w:sz w:val="20"/>
          <w:szCs w:val="20"/>
          <w:color w:val="auto"/>
        </w:rPr>
      </w:pPr>
      <w:r>
        <w:rPr>
          <w:rFonts w:ascii="Georgia" w:cs="Georgia" w:eastAsia="Georgia" w:hAnsi="Georgia"/>
          <w:sz w:val="17"/>
          <w:szCs w:val="17"/>
          <w:color w:val="auto"/>
        </w:rPr>
        <w:t>We hereby consent to the incorporation by reference in this Registration Statement on Form S-8 of Navan, Inc. of our report dated April 30, 2025, except for the disaggregated usage-based and subscription revenue information included in Note 2 to the consolidated financial statements, as to which the date is July 25, 2025, and except for the effects of the reverse stock split discussed in Note 1 to the consolidated financial statements, as to which the date is September 19, 2025, relating to the financial statements, which appears in Navan, Inc.'s Amendment No. 1 to the Registration Statement on Form S-1 (No. 333-290396).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Georgia" w:cs="Georgia" w:eastAsia="Georgia" w:hAnsi="Georgia"/>
          <w:sz w:val="17"/>
          <w:szCs w:val="17"/>
          <w:color w:val="auto"/>
        </w:rPr>
        <w:t>/s/ PricewaterhouseCoopers LLP</w:t>
      </w:r>
    </w:p>
    <w:p>
      <w:pPr>
        <w:spacing w:after="0" w:line="14" w:lineRule="exact"/>
        <w:rPr>
          <w:sz w:val="20"/>
          <w:szCs w:val="20"/>
          <w:color w:val="auto"/>
        </w:rPr>
      </w:pPr>
    </w:p>
    <w:p>
      <w:pPr>
        <w:spacing w:after="0"/>
        <w:rPr>
          <w:sz w:val="20"/>
          <w:szCs w:val="20"/>
          <w:color w:val="auto"/>
        </w:rPr>
      </w:pPr>
      <w:r>
        <w:rPr>
          <w:rFonts w:ascii="Georgia" w:cs="Georgia" w:eastAsia="Georgia" w:hAnsi="Georgia"/>
          <w:sz w:val="17"/>
          <w:szCs w:val="17"/>
          <w:color w:val="auto"/>
        </w:rPr>
        <w:t>San Jose, California</w:t>
      </w:r>
    </w:p>
    <w:p>
      <w:pPr>
        <w:spacing w:after="0" w:line="14" w:lineRule="exact"/>
        <w:rPr>
          <w:sz w:val="20"/>
          <w:szCs w:val="20"/>
          <w:color w:val="auto"/>
        </w:rPr>
      </w:pPr>
    </w:p>
    <w:p>
      <w:pPr>
        <w:spacing w:after="0"/>
        <w:rPr>
          <w:sz w:val="20"/>
          <w:szCs w:val="20"/>
          <w:color w:val="auto"/>
        </w:rPr>
      </w:pPr>
      <w:r>
        <w:rPr>
          <w:rFonts w:ascii="Georgia" w:cs="Georgia" w:eastAsia="Georgia" w:hAnsi="Georgia"/>
          <w:sz w:val="17"/>
          <w:szCs w:val="17"/>
          <w:color w:val="auto"/>
        </w:rPr>
        <w:t>October 30, 2025</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07"/>
    </w:lvl>
  </w:abstractNum>
  <w:abstractNum w:abstractNumId="5">
    <w:nsid w:val="515F007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5BD062C2"/>
    <w:multiLevelType w:val="hybridMultilevel"/>
    <w:lvl w:ilvl="0">
      <w:lvlJc w:val="left"/>
      <w:lvlText w:val="(%1)"/>
      <w:numFmt w:val="lowerRoman"/>
      <w:start w:val="3"/>
    </w:lvl>
  </w:abstractNum>
  <w:abstractNum w:abstractNumId="7">
    <w:nsid w:val="12200854"/>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8">
    <w:nsid w:val="4DB127F8"/>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1"/>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jpeg"/><Relationship Id="rId47" Type="http://schemas.openxmlformats.org/officeDocument/2006/relationships/image" Target="media/image30.jpeg"/><Relationship Id="rId48" Type="http://schemas.openxmlformats.org/officeDocument/2006/relationships/image" Target="media/image31.png"/><Relationship Id="rId14" Type="http://schemas.openxmlformats.org/officeDocument/2006/relationships/hyperlink" Target="https://www.sec.gov/Archives/edgar/data/1639723/000162828025044812/navan-sx1a.htm" TargetMode="External"/><Relationship Id="rId15" Type="http://schemas.openxmlformats.org/officeDocument/2006/relationships/hyperlink" Target="https://www.sec.gov/Archives/edgar/data/1639723/000162828025047029/navan-8xaamended.htm" TargetMode="External"/><Relationship Id="rId16" Type="http://schemas.openxmlformats.org/officeDocument/2006/relationships/hyperlink" Target="https://www.sec.gov/Archives/edgar/data/1639723/000162828025042130/exhibit31-sx1.htm" TargetMode="External"/><Relationship Id="rId17" Type="http://schemas.openxmlformats.org/officeDocument/2006/relationships/hyperlink" Target="https://www.sec.gov/Archives/edgar/data/1639723/000162828025044812/exhibit32-sx1a.htm" TargetMode="External"/><Relationship Id="rId18" Type="http://schemas.openxmlformats.org/officeDocument/2006/relationships/hyperlink" Target="https://www.sec.gov/Archives/edgar/data/1639723/000162828025042130/exhibit33-sx1.htm" TargetMode="External"/><Relationship Id="rId19" Type="http://schemas.openxmlformats.org/officeDocument/2006/relationships/hyperlink" Target="https://www.sec.gov/Archives/edgar/data/1639723/000162828025044812/exhibit34-sx1a.htm" TargetMode="External"/><Relationship Id="rId20" Type="http://schemas.openxmlformats.org/officeDocument/2006/relationships/hyperlink" Target="https://www.sec.gov/Archives/edgar/data/1639723/000162828025044812/exhibit41-sx1a.htm" TargetMode="External"/><Relationship Id="rId21" Type="http://schemas.openxmlformats.org/officeDocument/2006/relationships/hyperlink" Target="https://www.sec.gov/Archives/edgar/data/1639723/000162828025042130/exhibit102-sx1.htm" TargetMode="External"/><Relationship Id="rId22" Type="http://schemas.openxmlformats.org/officeDocument/2006/relationships/hyperlink" Target="https://www.sec.gov/Archives/edgar/data/1639723/000162828025044812/exhibit103s-1a.htm" TargetMode="External"/><Relationship Id="rId23" Type="http://schemas.openxmlformats.org/officeDocument/2006/relationships/hyperlink" Target="https://www.sec.gov/Archives/edgar/data/1639723/000162828025044812/exhibit104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2025-10-30T07:15:19Z</dcterms:created>
  <dcterms:modified xsi:type="dcterms:W3CDTF">2025-10-30T07:15:19Z</dcterms:modified>
</cp:coreProperties>
</file>