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8836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836025"/>
                    </a:xfrm>
                    <a:prstGeom prst="rect">
                      <a:avLst/>
                    </a:prstGeom>
                    <a:noFill/>
                  </pic:spPr>
                </pic:pic>
              </a:graphicData>
            </a:graphic>
          </wp:anchor>
        </w:drawing>
      </w:r>
    </w:p>
    <w:p>
      <w:pPr>
        <w:spacing w:after="0" w:line="1013"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120" w:type="dxa"/>
            <w:vAlign w:val="bottom"/>
            <w:gridSpan w:val="4"/>
            <w:vMerge w:val="restart"/>
          </w:tcPr>
          <w:p>
            <w:pPr>
              <w:spacing w:after="0" w:line="227"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Andreessen Horowitz LSV Fund I, L.P.</w:t>
              </w:r>
            </w:hyperlink>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5"/>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Navan,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1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120" w:type="dxa"/>
            <w:vAlign w:val="bottom"/>
            <w:tcBorders>
              <w:bottom w:val="single" w:sz="8" w:color="0000EE"/>
            </w:tcBorders>
            <w:gridSpan w:val="4"/>
            <w:vMerge w:val="continue"/>
          </w:tcPr>
          <w:p>
            <w:pPr>
              <w:spacing w:after="0"/>
              <w:rPr>
                <w:sz w:val="5"/>
                <w:szCs w:val="5"/>
                <w:color w:val="auto"/>
              </w:rPr>
            </w:pPr>
          </w:p>
        </w:tc>
        <w:tc>
          <w:tcPr>
            <w:tcW w:w="320" w:type="dxa"/>
            <w:vAlign w:val="bottom"/>
            <w:gridSpan w:val="2"/>
            <w:vMerge w:val="restart"/>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780" w:type="dxa"/>
            <w:vAlign w:val="bottom"/>
          </w:tcPr>
          <w:p>
            <w:pPr>
              <w:spacing w:after="0"/>
              <w:rPr>
                <w:sz w:val="5"/>
                <w:szCs w:val="5"/>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120" w:type="dxa"/>
            <w:vAlign w:val="bottom"/>
            <w:gridSpan w:val="4"/>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100" w:type="dxa"/>
            <w:vAlign w:val="bottom"/>
            <w:gridSpan w:val="3"/>
            <w:vMerge w:val="restart"/>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780" w:type="dxa"/>
            <w:vAlign w:val="bottom"/>
          </w:tcPr>
          <w:p>
            <w:pPr>
              <w:spacing w:after="0"/>
              <w:rPr>
                <w:sz w:val="3"/>
                <w:szCs w:val="3"/>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20" w:type="dxa"/>
            <w:vAlign w:val="bottom"/>
            <w:gridSpan w:val="6"/>
            <w:vMerge w:val="continue"/>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10/31/2025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2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MENLO PARK   CA</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gridSpan w:val="2"/>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6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8"/>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80" w:type="dxa"/>
            <w:vAlign w:val="bottom"/>
          </w:tcPr>
          <w:p>
            <w:pPr>
              <w:spacing w:after="0"/>
              <w:rPr>
                <w:sz w:val="13"/>
                <w:szCs w:val="13"/>
                <w:color w:val="auto"/>
              </w:rPr>
            </w:pPr>
          </w:p>
        </w:tc>
        <w:tc>
          <w:tcPr>
            <w:tcW w:w="1040" w:type="dxa"/>
            <w:vAlign w:val="bottom"/>
            <w:gridSpan w:val="6"/>
          </w:tcPr>
          <w:p>
            <w:pPr>
              <w:ind w:left="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right"/>
              <w:ind w:right="358"/>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jc w:val="right"/>
              <w:ind w:right="118"/>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6"/>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5"/>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4"/>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280"/>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jc w:val="right"/>
              <w:ind w:right="218"/>
              <w:spacing w:after="0"/>
              <w:rPr>
                <w:sz w:val="20"/>
                <w:szCs w:val="20"/>
                <w:color w:val="auto"/>
              </w:rPr>
            </w:pPr>
            <w:r>
              <w:rPr>
                <w:rFonts w:ascii="Arial" w:cs="Arial" w:eastAsia="Arial" w:hAnsi="Arial"/>
                <w:sz w:val="11"/>
                <w:szCs w:val="11"/>
                <w:b w:val="1"/>
                <w:bCs w:val="1"/>
                <w:color w:val="auto"/>
              </w:rPr>
              <w:t>Price</w:t>
            </w:r>
          </w:p>
        </w:tc>
        <w:tc>
          <w:tcPr>
            <w:tcW w:w="15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6,757,090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6,757,090</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4,305,906</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5,574,551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607,161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607,161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2,081,772</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2,081,772</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(6)</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CLF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70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99"/>
              </w:rPr>
              <w:t>17,001</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gridSpan w:val="2"/>
          </w:tcPr>
          <w:p>
            <w:pPr>
              <w:jc w:val="center"/>
              <w:ind w:left="275"/>
              <w:spacing w:after="0"/>
              <w:rPr>
                <w:sz w:val="20"/>
                <w:szCs w:val="20"/>
                <w:color w:val="auto"/>
              </w:rPr>
            </w:pPr>
            <w:r>
              <w:rPr>
                <w:rFonts w:ascii="Times New Roman" w:cs="Times New Roman" w:eastAsia="Times New Roman" w:hAnsi="Times New Roman"/>
                <w:sz w:val="16"/>
                <w:szCs w:val="16"/>
                <w:color w:val="0000FF"/>
                <w:w w:val="99"/>
              </w:rPr>
              <w:t>17,001</w:t>
            </w:r>
          </w:p>
        </w:tc>
        <w:tc>
          <w:tcPr>
            <w:tcW w:w="7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AH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vMerge w:val="restart"/>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6"/>
                <w:szCs w:val="16"/>
                <w:color w:val="0000FF"/>
                <w:w w:val="99"/>
              </w:rPr>
              <w:t>10,408,860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vMerge w:val="restart"/>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10,408,860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Parallel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20" w:type="dxa"/>
            <w:vAlign w:val="bottom"/>
            <w:gridSpan w:val="7"/>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5"/>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(8)(9)</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8"/>
          </w:tcPr>
          <w:p>
            <w:pPr>
              <w:jc w:val="center"/>
              <w:ind w:right="121"/>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20" w:type="dxa"/>
            <w:vAlign w:val="bottom"/>
            <w:gridSpan w:val="15"/>
          </w:tcPr>
          <w:p>
            <w:pPr>
              <w:jc w:val="center"/>
              <w:ind w:right="11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54"/>
              <w:spacing w:after="0" w:line="124" w:lineRule="exact"/>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2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Seed</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255,244</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jc w:val="right"/>
              <w:ind w:right="163"/>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vMerge w:val="restart"/>
          </w:tcPr>
          <w:p>
            <w:pPr>
              <w:ind w:left="440"/>
              <w:spacing w:after="0" w:line="136" w:lineRule="exact"/>
              <w:rPr>
                <w:sz w:val="20"/>
                <w:szCs w:val="20"/>
                <w:color w:val="auto"/>
              </w:rPr>
            </w:pPr>
            <w:r>
              <w:rPr>
                <w:rFonts w:ascii="Times New Roman" w:cs="Times New Roman" w:eastAsia="Times New Roman" w:hAnsi="Times New Roman"/>
                <w:sz w:val="12"/>
                <w:szCs w:val="12"/>
                <w:color w:val="0000FF"/>
              </w:rPr>
              <w:t>765,736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500" w:type="dxa"/>
            <w:vAlign w:val="bottom"/>
            <w:vMerge w:val="restart"/>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vMerge w:val="restart"/>
          </w:tcPr>
          <w:p>
            <w:pPr>
              <w:jc w:val="center"/>
              <w:ind w:left="22"/>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gridSpan w:val="3"/>
            <w:vMerge w:val="restart"/>
          </w:tcPr>
          <w:p>
            <w:pPr>
              <w:ind w:left="4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38"/>
              <w:spacing w:after="0" w:line="174" w:lineRule="exact"/>
              <w:rPr>
                <w:sz w:val="20"/>
                <w:szCs w:val="20"/>
                <w:color w:val="auto"/>
              </w:rPr>
            </w:pPr>
            <w:r>
              <w:rPr>
                <w:rFonts w:ascii="Times New Roman" w:cs="Times New Roman" w:eastAsia="Times New Roman" w:hAnsi="Times New Roman"/>
                <w:sz w:val="16"/>
                <w:szCs w:val="16"/>
                <w:color w:val="0000FF"/>
              </w:rPr>
              <w:t>201,306</w:t>
            </w: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20" w:type="dxa"/>
            <w:vAlign w:val="bottom"/>
            <w:vMerge w:val="restart"/>
          </w:tcPr>
          <w:p>
            <w:pPr>
              <w:jc w:val="right"/>
              <w:ind w:right="163"/>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1000" w:type="dxa"/>
            <w:vAlign w:val="bottom"/>
            <w:gridSpan w:val="2"/>
            <w:vMerge w:val="restart"/>
          </w:tcPr>
          <w:p>
            <w:pPr>
              <w:ind w:left="440"/>
              <w:spacing w:after="0" w:line="100" w:lineRule="exact"/>
              <w:rPr>
                <w:sz w:val="20"/>
                <w:szCs w:val="20"/>
                <w:color w:val="auto"/>
              </w:rPr>
            </w:pPr>
            <w:r>
              <w:rPr>
                <w:rFonts w:ascii="Times New Roman" w:cs="Times New Roman" w:eastAsia="Times New Roman" w:hAnsi="Times New Roman"/>
                <w:sz w:val="11"/>
                <w:szCs w:val="11"/>
                <w:color w:val="0000FF"/>
              </w:rPr>
              <w:t>603,920</w:t>
            </w: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vMerge w:val="restart"/>
          </w:tcPr>
          <w:p>
            <w:pPr>
              <w:ind w:left="4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-2409825</wp:posOffset>
            </wp:positionV>
            <wp:extent cx="28575" cy="2473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7332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1052385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2,081,772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6,245,316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Fund V,</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AH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10,408,860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Parallel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60" w:type="dxa"/>
            <w:vAlign w:val="bottom"/>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gridSpan w:val="3"/>
            <w:vMerge w:val="restart"/>
          </w:tcPr>
          <w:p>
            <w:pPr>
              <w:jc w:val="center"/>
              <w:ind w:left="182"/>
              <w:spacing w:after="0" w:line="100" w:lineRule="exact"/>
              <w:rPr>
                <w:sz w:val="20"/>
                <w:szCs w:val="20"/>
                <w:color w:val="auto"/>
              </w:rPr>
            </w:pPr>
            <w:r>
              <w:rPr>
                <w:rFonts w:ascii="Times New Roman" w:cs="Times New Roman" w:eastAsia="Times New Roman" w:hAnsi="Times New Roman"/>
                <w:sz w:val="11"/>
                <w:szCs w:val="11"/>
                <w:color w:val="0000FF"/>
              </w:rPr>
              <w:t>31,226,580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Fund V,</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(8)(9)</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13,878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41,635</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6,757,090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w w:val="99"/>
              </w:rPr>
              <w:t>20,244,280</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 L.P.</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E</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3,272,830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9,763,156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777,832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2,309,297</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3,123</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202"/>
              <w:spacing w:after="0" w:line="136" w:lineRule="exact"/>
              <w:rPr>
                <w:sz w:val="20"/>
                <w:szCs w:val="20"/>
                <w:color w:val="auto"/>
              </w:rPr>
            </w:pPr>
            <w:r>
              <w:rPr>
                <w:rFonts w:ascii="Times New Roman" w:cs="Times New Roman" w:eastAsia="Times New Roman" w:hAnsi="Times New Roman"/>
                <w:sz w:val="12"/>
                <w:szCs w:val="12"/>
                <w:color w:val="0000FF"/>
              </w:rPr>
              <w:t>9,274</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405,855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60" w:type="dxa"/>
            <w:vAlign w:val="bottom"/>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gridSpan w:val="3"/>
            <w:vMerge w:val="restart"/>
          </w:tcPr>
          <w:p>
            <w:pPr>
              <w:jc w:val="center"/>
              <w:ind w:left="182"/>
              <w:spacing w:after="0" w:line="100" w:lineRule="exact"/>
              <w:rPr>
                <w:sz w:val="20"/>
                <w:szCs w:val="20"/>
                <w:color w:val="auto"/>
              </w:rPr>
            </w:pPr>
            <w:r>
              <w:rPr>
                <w:rFonts w:ascii="Times New Roman" w:cs="Times New Roman" w:eastAsia="Times New Roman" w:hAnsi="Times New Roman"/>
                <w:sz w:val="11"/>
                <w:szCs w:val="11"/>
                <w:color w:val="0000FF"/>
              </w:rPr>
              <w:t>1,201,643</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vMerge w:val="restart"/>
          </w:tcPr>
          <w:p>
            <w:pPr>
              <w:ind w:left="6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380" w:type="dxa"/>
            <w:vAlign w:val="bottom"/>
            <w:tcBorders>
              <w:bottom w:val="single" w:sz="8" w:color="2C2C2C"/>
            </w:tcBorders>
            <w:gridSpan w:val="3"/>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4"/>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Andreessen Horowitz LSV Fund I, L.P.</w:t>
              </w:r>
            </w:hyperlink>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2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spacing w:after="0" w:line="210"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Andreessen Horowitz LSV Fund I-B, L.P.</w:t>
              </w:r>
            </w:hyperlink>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2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spacing w:after="0" w:line="210" w:lineRule="exact"/>
              <w:rPr>
                <w:rFonts w:ascii="Times New Roman" w:cs="Times New Roman" w:eastAsia="Times New Roman" w:hAnsi="Times New Roman"/>
                <w:sz w:val="20"/>
                <w:szCs w:val="20"/>
                <w:color w:val="0000EE"/>
                <w:w w:val="99"/>
              </w:rPr>
            </w:pPr>
            <w:hyperlink r:id="rId18">
              <w:r>
                <w:rPr>
                  <w:rFonts w:ascii="Times New Roman" w:cs="Times New Roman" w:eastAsia="Times New Roman" w:hAnsi="Times New Roman"/>
                  <w:sz w:val="20"/>
                  <w:szCs w:val="20"/>
                  <w:color w:val="0000EE"/>
                  <w:w w:val="99"/>
                </w:rPr>
                <w:t>Andreessen Horowitz LSV Fund I-Q, L.P.</w:t>
              </w:r>
            </w:hyperlink>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2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8" w:right="359" w:bottom="0" w:gutter="0" w:footer="0" w:header="0"/>
        </w:sectPr>
      </w:pP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AH Equity Partners LSV I, L.L.C.</w:t>
        </w:r>
      </w:hyperlink>
    </w:p>
    <w:p>
      <w:pPr>
        <w:sectPr>
          <w:pgSz w:w="11900" w:h="16838" w:orient="portrait"/>
          <w:cols w:equalWidth="0" w:num="1">
            <w:col w:w="11080"/>
          </w:cols>
          <w:pgMar w:left="460" w:top="188" w:right="359" w:bottom="0" w:gutter="0" w:footer="0" w:header="0"/>
          <w:type w:val="continuous"/>
        </w:sectPr>
      </w:pPr>
    </w:p>
    <w:bookmarkStart w:id="2" w:name="page3"/>
    <w:bookmarkEnd w:id="2"/>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9462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14955" cy="946277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20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8"/>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20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Andreessen Horowitz LSV Fund II, L.P.</w:t>
        </w:r>
      </w:hyperlink>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20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8"/>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20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Andreessen Horowitz LSV Fund II-B, L.P.</w:t>
        </w:r>
      </w:hyperlink>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20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8"/>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20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Andreessen Horowitz LSV Fund II-Q, L.P.</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gridSpan w:val="2"/>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8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800" w:type="dxa"/>
            <w:vAlign w:val="bottom"/>
            <w:gridSpan w:val="4"/>
          </w:tcPr>
          <w:p>
            <w:pPr>
              <w:spacing w:after="0" w:line="210" w:lineRule="exact"/>
              <w:rPr>
                <w:rFonts w:ascii="Times New Roman" w:cs="Times New Roman" w:eastAsia="Times New Roman" w:hAnsi="Times New Roman"/>
                <w:sz w:val="20"/>
                <w:szCs w:val="20"/>
                <w:color w:val="0000EE"/>
                <w:w w:val="98"/>
              </w:rPr>
            </w:pPr>
            <w:hyperlink r:id="rId24">
              <w:r>
                <w:rPr>
                  <w:rFonts w:ascii="Times New Roman" w:cs="Times New Roman" w:eastAsia="Times New Roman" w:hAnsi="Times New Roman"/>
                  <w:sz w:val="20"/>
                  <w:szCs w:val="20"/>
                  <w:color w:val="0000EE"/>
                  <w:w w:val="98"/>
                </w:rPr>
                <w:t>AH Equity Partners LSV II, L.L.C.</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gridSpan w:val="2"/>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8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800" w:type="dxa"/>
            <w:vAlign w:val="bottom"/>
            <w:gridSpan w:val="4"/>
          </w:tcPr>
          <w:p>
            <w:pPr>
              <w:spacing w:after="0" w:line="210" w:lineRule="exact"/>
              <w:rPr>
                <w:rFonts w:ascii="Times New Roman" w:cs="Times New Roman" w:eastAsia="Times New Roman" w:hAnsi="Times New Roman"/>
                <w:sz w:val="20"/>
                <w:szCs w:val="20"/>
                <w:color w:val="0000EE"/>
              </w:rPr>
            </w:pPr>
            <w:hyperlink r:id="rId25">
              <w:r>
                <w:rPr>
                  <w:rFonts w:ascii="Times New Roman" w:cs="Times New Roman" w:eastAsia="Times New Roman" w:hAnsi="Times New Roman"/>
                  <w:sz w:val="20"/>
                  <w:szCs w:val="20"/>
                  <w:color w:val="0000EE"/>
                </w:rPr>
                <w:t>Andreessen Marc L</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100" w:hanging="4"/>
        <w:spacing w:after="0" w:line="25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Seed, Series A, Series C, Series D, Series E, Series F and Series G-1 Preferred Stock automatically converted into shares of Class A Common Stock immediately prior to the closing of the Issuer's initial public offering ("IPO") for no additional consideration at a conversion ratio that was dependent upon the initial offering price per share of the Class A Common Stock to the public in the Issuer's IPO, and had no expiration date.</w:t>
      </w:r>
    </w:p>
    <w:p>
      <w:pPr>
        <w:spacing w:after="0" w:line="16" w:lineRule="exact"/>
        <w:rPr>
          <w:rFonts w:ascii="Times New Roman" w:cs="Times New Roman" w:eastAsia="Times New Roman" w:hAnsi="Times New Roman"/>
          <w:sz w:val="12"/>
          <w:szCs w:val="12"/>
          <w:color w:val="008000"/>
        </w:rPr>
      </w:pPr>
    </w:p>
    <w:p>
      <w:pPr>
        <w:ind w:left="20" w:hanging="4"/>
        <w:spacing w:after="0" w:line="24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20" w:right="60" w:hanging="4"/>
        <w:spacing w:after="0" w:line="274"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w:t>
      </w:r>
    </w:p>
    <w:p>
      <w:pPr>
        <w:sectPr>
          <w:pgSz w:w="11900" w:h="16931" w:orient="portrait"/>
          <w:cols w:equalWidth="0" w:num="1">
            <w:col w:w="10920"/>
          </w:cols>
          <w:pgMar w:left="480" w:top="164" w:right="499" w:bottom="0" w:gutter="0" w:footer="0" w:header="0"/>
        </w:sectPr>
      </w:pPr>
    </w:p>
    <w:bookmarkStart w:id="3" w:name="page4"/>
    <w:bookmarkEnd w:id="3"/>
    <w:p>
      <w:pPr>
        <w:jc w:val="both"/>
        <w:ind w:left="4" w:right="80"/>
        <w:spacing w:after="0" w:line="255" w:lineRule="auto"/>
        <w:rPr>
          <w:sz w:val="20"/>
          <w:szCs w:val="20"/>
          <w:color w:val="auto"/>
        </w:rPr>
      </w:pPr>
      <w:r>
        <w:rPr>
          <w:rFonts w:ascii="Times New Roman" w:cs="Times New Roman" w:eastAsia="Times New Roman" w:hAnsi="Times New Roman"/>
          <w:sz w:val="12"/>
          <w:szCs w:val="12"/>
          <w:color w:val="008000"/>
        </w:rPr>
        <w:t>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 w:lineRule="exact"/>
        <w:rPr>
          <w:sz w:val="20"/>
          <w:szCs w:val="20"/>
          <w:color w:val="auto"/>
        </w:rPr>
      </w:pPr>
    </w:p>
    <w:p>
      <w:pPr>
        <w:ind w:left="4" w:right="40" w:hanging="4"/>
        <w:spacing w:after="0" w:line="25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16" w:lineRule="exact"/>
        <w:rPr>
          <w:rFonts w:ascii="Times New Roman" w:cs="Times New Roman" w:eastAsia="Times New Roman" w:hAnsi="Times New Roman"/>
          <w:sz w:val="12"/>
          <w:szCs w:val="12"/>
          <w:color w:val="008000"/>
        </w:rPr>
      </w:pPr>
    </w:p>
    <w:p>
      <w:pPr>
        <w:ind w:left="4" w:right="60" w:hanging="4"/>
        <w:spacing w:after="0" w:line="25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16" w:lineRule="exact"/>
        <w:rPr>
          <w:rFonts w:ascii="Times New Roman" w:cs="Times New Roman" w:eastAsia="Times New Roman" w:hAnsi="Times New Roman"/>
          <w:sz w:val="12"/>
          <w:szCs w:val="12"/>
          <w:color w:val="008000"/>
        </w:rPr>
      </w:pPr>
    </w:p>
    <w:p>
      <w:pPr>
        <w:ind w:left="4" w:hanging="4"/>
        <w:spacing w:after="0" w:line="24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4" w:right="120" w:hanging="4"/>
        <w:spacing w:after="0" w:line="24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1" w:lineRule="exact"/>
        <w:rPr>
          <w:rFonts w:ascii="Times New Roman" w:cs="Times New Roman" w:eastAsia="Times New Roman" w:hAnsi="Times New Roman"/>
          <w:sz w:val="12"/>
          <w:szCs w:val="12"/>
          <w:color w:val="008000"/>
        </w:rPr>
      </w:pPr>
    </w:p>
    <w:p>
      <w:pPr>
        <w:jc w:val="both"/>
        <w:ind w:left="4" w:right="120" w:hanging="4"/>
        <w:spacing w:after="0" w:line="24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1" w:lineRule="exact"/>
        <w:rPr>
          <w:rFonts w:ascii="Times New Roman" w:cs="Times New Roman" w:eastAsia="Times New Roman" w:hAnsi="Times New Roman"/>
          <w:sz w:val="12"/>
          <w:szCs w:val="12"/>
          <w:color w:val="008000"/>
        </w:rPr>
      </w:pPr>
    </w:p>
    <w:p>
      <w:pPr>
        <w:ind w:left="4" w:right="80" w:hanging="4"/>
        <w:spacing w:after="0" w:line="27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8)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4"/>
        <w:spacing w:after="0" w:line="242" w:lineRule="auto"/>
        <w:rPr>
          <w:sz w:val="20"/>
          <w:szCs w:val="20"/>
          <w:color w:val="auto"/>
        </w:rPr>
      </w:pPr>
      <w:r>
        <w:rPr>
          <w:rFonts w:ascii="Times New Roman" w:cs="Times New Roman" w:eastAsia="Times New Roman" w:hAnsi="Times New Roman"/>
          <w:sz w:val="12"/>
          <w:szCs w:val="12"/>
          <w:color w:val="008000"/>
        </w:rPr>
        <w:t>This Form 4 is the first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904"/>
          </w:cols>
          <w:pgMar w:left="496" w:top="127" w:right="499" w:bottom="1440" w:gutter="0" w:footer="0" w:header="0"/>
        </w:sectPr>
      </w:pPr>
    </w:p>
    <w:p>
      <w:pPr>
        <w:spacing w:after="0" w:line="189"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I, 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42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LSV 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718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718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5"/>
          <w:szCs w:val="15"/>
          <w:color w:val="0000FF"/>
        </w:rPr>
        <w:t>I-B, 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436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4366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LSV 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718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718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5"/>
          <w:szCs w:val="15"/>
          <w:color w:val="0000FF"/>
        </w:rPr>
        <w:t>I-Q, 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4937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LSV 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718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0718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061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0617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071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II, 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757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571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LSV 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061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061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II-B,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185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0185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76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176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88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188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63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2921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9210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II-Q,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242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0242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76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1176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88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188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63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2921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9210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3982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3982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0713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684" w:space="80"/>
            <w:col w:w="2140"/>
          </w:cols>
          <w:pgMar w:left="496" w:top="127" w:right="499" w:bottom="1440" w:gutter="0" w:footer="0" w:header="0"/>
          <w:type w:val="continuous"/>
        </w:sectPr>
      </w:pPr>
    </w:p>
    <w:tbl>
      <w:tblPr>
        <w:tblLayout w:type="fixed"/>
        <w:tblInd w:w="6564"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Phil Hathaway, Attorney-in-</w:t>
            </w:r>
          </w:p>
        </w:tc>
        <w:tc>
          <w:tcPr>
            <w:tcW w:w="18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11/04/2025</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Fact for Marc L. Andreessen</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8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360" w:type="dxa"/>
            <w:vAlign w:val="bottom"/>
            <w:gridSpan w:val="2"/>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80" w:hanging="4"/>
        <w:spacing w:after="0" w:line="32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13" Type="http://schemas.openxmlformats.org/officeDocument/2006/relationships/hyperlink" Target="http://www.sec.gov/cgi-bin/browse-edgar?action=getcompany&amp;CIK=0001772284"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772420" TargetMode="External"/><Relationship Id="rId18" Type="http://schemas.openxmlformats.org/officeDocument/2006/relationships/hyperlink" Target="http://www.sec.gov/cgi-bin/browse-edgar?action=getcompany&amp;CIK=0001772407" TargetMode="External"/><Relationship Id="rId19" Type="http://schemas.openxmlformats.org/officeDocument/2006/relationships/hyperlink" Target="http://www.sec.gov/cgi-bin/browse-edgar?action=getcompany&amp;CIK=0001772287" TargetMode="External"/><Relationship Id="rId21" Type="http://schemas.openxmlformats.org/officeDocument/2006/relationships/hyperlink" Target="http://www.sec.gov/cgi-bin/browse-edgar?action=getcompany&amp;CIK=0001829357" TargetMode="External"/><Relationship Id="rId22" Type="http://schemas.openxmlformats.org/officeDocument/2006/relationships/hyperlink" Target="http://www.sec.gov/cgi-bin/browse-edgar?action=getcompany&amp;CIK=0001829459" TargetMode="External"/><Relationship Id="rId23" Type="http://schemas.openxmlformats.org/officeDocument/2006/relationships/hyperlink" Target="http://www.sec.gov/cgi-bin/browse-edgar?action=getcompany&amp;CIK=0001829458" TargetMode="External"/><Relationship Id="rId24" Type="http://schemas.openxmlformats.org/officeDocument/2006/relationships/hyperlink" Target="http://www.sec.gov/cgi-bin/browse-edgar?action=getcompany&amp;CIK=0001829384" TargetMode="External"/><Relationship Id="rId25" Type="http://schemas.openxmlformats.org/officeDocument/2006/relationships/hyperlink" Target="http://www.sec.gov/cgi-bin/browse-edgar?action=getcompany&amp;CIK=0001160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2025-11-04T18:47:09Z</dcterms:created>
  <dcterms:modified xsi:type="dcterms:W3CDTF">2025-11-04T18:47:09Z</dcterms:modified>
</cp:coreProperties>
</file>