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October 30, 2025</w:t>
      </w:r>
    </w:p>
    <w:p>
      <w:pPr>
        <w:spacing w:after="0" w:line="20" w:lineRule="exact"/>
        <w:rPr>
          <w:sz w:val="24"/>
          <w:szCs w:val="24"/>
          <w:color w:val="auto"/>
        </w:rPr>
      </w:pPr>
    </w:p>
    <w:p>
      <w:pPr>
        <w:ind w:left="9880"/>
        <w:spacing w:after="0"/>
        <w:rPr>
          <w:sz w:val="20"/>
          <w:szCs w:val="20"/>
          <w:color w:val="auto"/>
        </w:rPr>
      </w:pPr>
      <w:r>
        <w:rPr>
          <w:rFonts w:ascii="Times New Roman" w:cs="Times New Roman" w:eastAsia="Times New Roman" w:hAnsi="Times New Roman"/>
          <w:sz w:val="13"/>
          <w:szCs w:val="13"/>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75565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116205</wp:posOffset>
            </wp:positionV>
            <wp:extent cx="1192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120015</wp:posOffset>
            </wp:positionV>
            <wp:extent cx="1192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Navan, Inc.</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200"/>
          </w:cols>
          <w:pgMar w:left="320" w:top="609" w:right="379" w:bottom="1440" w:gutter="0" w:footer="0" w:header="0"/>
        </w:sectPr>
      </w:pPr>
    </w:p>
    <w:p>
      <w:pPr>
        <w:spacing w:after="0" w:line="18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47-3424780</w:t>
      </w:r>
    </w:p>
    <w:p>
      <w:pPr>
        <w:spacing w:after="0" w:line="18" w:lineRule="exact"/>
        <w:rPr>
          <w:sz w:val="24"/>
          <w:szCs w:val="24"/>
          <w:color w:val="auto"/>
        </w:rPr>
      </w:pPr>
    </w:p>
    <w:p>
      <w:pPr>
        <w:sectPr>
          <w:pgSz w:w="11900" w:h="16838" w:orient="portrait"/>
          <w:cols w:equalWidth="0" w:num="2">
            <w:col w:w="7320" w:space="720"/>
            <w:col w:w="3160"/>
          </w:cols>
          <w:pgMar w:left="320" w:top="609" w:right="37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300"/>
          </w:cols>
          <w:pgMar w:left="320" w:top="609" w:right="379" w:bottom="1440" w:gutter="0" w:footer="0" w:header="0"/>
          <w:type w:val="continuous"/>
        </w:sectPr>
      </w:pP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3045 Park Boulevard</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Palo Alto, California 94306</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(888) 505-8747</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Navan, Inc. 2015 Equity Incentive Plan</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ectPr>
          <w:pgSz w:w="11900" w:h="16838" w:orient="portrait"/>
          <w:cols w:equalWidth="0" w:num="1">
            <w:col w:w="11200"/>
          </w:cols>
          <w:pgMar w:left="320" w:top="609" w:right="379" w:bottom="1440" w:gutter="0" w:footer="0" w:header="0"/>
          <w:type w:val="continuous"/>
        </w:sectPr>
      </w:pP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Ariel Cohen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Chairperson of the Board of Directors and 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Navan,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3045 Park Boulevard</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Palo Alto, California 94306</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(888) 505-8747</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47" w:lineRule="exact"/>
        <w:rPr>
          <w:sz w:val="24"/>
          <w:szCs w:val="24"/>
          <w:color w:val="auto"/>
        </w:rPr>
      </w:pPr>
    </w:p>
    <w:tbl>
      <w:tblPr>
        <w:tblLayout w:type="fixed"/>
        <w:tblInd w:w="178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50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194"/>
        </w:trPr>
        <w:tc>
          <w:tcPr>
            <w:tcW w:w="2740" w:type="dxa"/>
            <w:vAlign w:val="bottom"/>
          </w:tcPr>
          <w:p>
            <w:pPr>
              <w:jc w:val="center"/>
              <w:ind w:right="634"/>
              <w:spacing w:after="0" w:line="194" w:lineRule="exact"/>
              <w:rPr>
                <w:sz w:val="20"/>
                <w:szCs w:val="20"/>
                <w:color w:val="auto"/>
              </w:rPr>
            </w:pPr>
            <w:r>
              <w:rPr>
                <w:rFonts w:ascii="Times New Roman" w:cs="Times New Roman" w:eastAsia="Times New Roman" w:hAnsi="Times New Roman"/>
                <w:sz w:val="17"/>
                <w:szCs w:val="17"/>
                <w:b w:val="1"/>
                <w:bCs w:val="1"/>
                <w:color w:val="auto"/>
              </w:rPr>
              <w:t>John T. McKenna</w:t>
            </w:r>
          </w:p>
        </w:tc>
        <w:tc>
          <w:tcPr>
            <w:tcW w:w="5080" w:type="dxa"/>
            <w:vAlign w:val="bottom"/>
          </w:tcPr>
          <w:p>
            <w:pPr>
              <w:jc w:val="center"/>
              <w:ind w:left="2694"/>
              <w:spacing w:after="0" w:line="194" w:lineRule="exact"/>
              <w:rPr>
                <w:sz w:val="20"/>
                <w:szCs w:val="20"/>
                <w:color w:val="auto"/>
              </w:rPr>
            </w:pPr>
            <w:r>
              <w:rPr>
                <w:rFonts w:ascii="Times New Roman" w:cs="Times New Roman" w:eastAsia="Times New Roman" w:hAnsi="Times New Roman"/>
                <w:sz w:val="17"/>
                <w:szCs w:val="17"/>
                <w:b w:val="1"/>
                <w:bCs w:val="1"/>
                <w:color w:val="auto"/>
              </w:rPr>
              <w:t>Howard Baik</w:t>
            </w:r>
          </w:p>
        </w:tc>
      </w:tr>
      <w:tr>
        <w:trPr>
          <w:trHeight w:val="168"/>
        </w:trPr>
        <w:tc>
          <w:tcPr>
            <w:tcW w:w="2740" w:type="dxa"/>
            <w:vAlign w:val="bottom"/>
          </w:tcPr>
          <w:p>
            <w:pPr>
              <w:jc w:val="center"/>
              <w:ind w:right="634"/>
              <w:spacing w:after="0" w:line="168" w:lineRule="exact"/>
              <w:rPr>
                <w:sz w:val="20"/>
                <w:szCs w:val="20"/>
                <w:color w:val="auto"/>
              </w:rPr>
            </w:pPr>
            <w:r>
              <w:rPr>
                <w:rFonts w:ascii="Times New Roman" w:cs="Times New Roman" w:eastAsia="Times New Roman" w:hAnsi="Times New Roman"/>
                <w:sz w:val="17"/>
                <w:szCs w:val="17"/>
                <w:b w:val="1"/>
                <w:bCs w:val="1"/>
                <w:color w:val="auto"/>
              </w:rPr>
              <w:t>Rachel Proffitt</w:t>
            </w:r>
          </w:p>
        </w:tc>
        <w:tc>
          <w:tcPr>
            <w:tcW w:w="5080" w:type="dxa"/>
            <w:vAlign w:val="bottom"/>
          </w:tcPr>
          <w:p>
            <w:pPr>
              <w:jc w:val="center"/>
              <w:ind w:left="2694"/>
              <w:spacing w:after="0" w:line="168" w:lineRule="exact"/>
              <w:rPr>
                <w:sz w:val="20"/>
                <w:szCs w:val="20"/>
                <w:color w:val="auto"/>
              </w:rPr>
            </w:pPr>
            <w:r>
              <w:rPr>
                <w:rFonts w:ascii="Times New Roman" w:cs="Times New Roman" w:eastAsia="Times New Roman" w:hAnsi="Times New Roman"/>
                <w:sz w:val="17"/>
                <w:szCs w:val="17"/>
                <w:b w:val="1"/>
                <w:bCs w:val="1"/>
                <w:color w:val="auto"/>
              </w:rPr>
              <w:t>General Counsel and Secretary</w:t>
            </w:r>
          </w:p>
        </w:tc>
      </w:tr>
      <w:tr>
        <w:trPr>
          <w:trHeight w:val="174"/>
        </w:trPr>
        <w:tc>
          <w:tcPr>
            <w:tcW w:w="2740" w:type="dxa"/>
            <w:vAlign w:val="bottom"/>
          </w:tcPr>
          <w:p>
            <w:pPr>
              <w:jc w:val="center"/>
              <w:ind w:right="634"/>
              <w:spacing w:after="0" w:line="174" w:lineRule="exact"/>
              <w:rPr>
                <w:sz w:val="20"/>
                <w:szCs w:val="20"/>
                <w:color w:val="auto"/>
              </w:rPr>
            </w:pPr>
            <w:r>
              <w:rPr>
                <w:rFonts w:ascii="Times New Roman" w:cs="Times New Roman" w:eastAsia="Times New Roman" w:hAnsi="Times New Roman"/>
                <w:sz w:val="17"/>
                <w:szCs w:val="17"/>
                <w:b w:val="1"/>
                <w:bCs w:val="1"/>
                <w:color w:val="auto"/>
                <w:w w:val="98"/>
              </w:rPr>
              <w:t>Jon C. Avina</w:t>
            </w:r>
          </w:p>
        </w:tc>
        <w:tc>
          <w:tcPr>
            <w:tcW w:w="5080" w:type="dxa"/>
            <w:vAlign w:val="bottom"/>
          </w:tcPr>
          <w:p>
            <w:pPr>
              <w:jc w:val="center"/>
              <w:ind w:left="2694"/>
              <w:spacing w:after="0" w:line="174" w:lineRule="exact"/>
              <w:rPr>
                <w:sz w:val="20"/>
                <w:szCs w:val="20"/>
                <w:color w:val="auto"/>
              </w:rPr>
            </w:pPr>
            <w:r>
              <w:rPr>
                <w:rFonts w:ascii="Times New Roman" w:cs="Times New Roman" w:eastAsia="Times New Roman" w:hAnsi="Times New Roman"/>
                <w:sz w:val="17"/>
                <w:szCs w:val="17"/>
                <w:b w:val="1"/>
                <w:bCs w:val="1"/>
                <w:color w:val="auto"/>
              </w:rPr>
              <w:t>Navan, Inc.</w:t>
            </w:r>
          </w:p>
        </w:tc>
      </w:tr>
      <w:tr>
        <w:trPr>
          <w:trHeight w:val="176"/>
        </w:trPr>
        <w:tc>
          <w:tcPr>
            <w:tcW w:w="2740" w:type="dxa"/>
            <w:vAlign w:val="bottom"/>
          </w:tcPr>
          <w:p>
            <w:pPr>
              <w:jc w:val="center"/>
              <w:ind w:right="634"/>
              <w:spacing w:after="0" w:line="176" w:lineRule="exact"/>
              <w:rPr>
                <w:sz w:val="20"/>
                <w:szCs w:val="20"/>
                <w:color w:val="auto"/>
              </w:rPr>
            </w:pPr>
            <w:r>
              <w:rPr>
                <w:rFonts w:ascii="Times New Roman" w:cs="Times New Roman" w:eastAsia="Times New Roman" w:hAnsi="Times New Roman"/>
                <w:sz w:val="17"/>
                <w:szCs w:val="17"/>
                <w:b w:val="1"/>
                <w:bCs w:val="1"/>
                <w:color w:val="auto"/>
              </w:rPr>
              <w:t>Milson C. Yu</w:t>
            </w:r>
          </w:p>
        </w:tc>
        <w:tc>
          <w:tcPr>
            <w:tcW w:w="5080" w:type="dxa"/>
            <w:vAlign w:val="bottom"/>
          </w:tcPr>
          <w:p>
            <w:pPr>
              <w:jc w:val="center"/>
              <w:ind w:left="2674"/>
              <w:spacing w:after="0" w:line="176" w:lineRule="exact"/>
              <w:rPr>
                <w:sz w:val="20"/>
                <w:szCs w:val="20"/>
                <w:color w:val="auto"/>
              </w:rPr>
            </w:pPr>
            <w:r>
              <w:rPr>
                <w:rFonts w:ascii="Times New Roman" w:cs="Times New Roman" w:eastAsia="Times New Roman" w:hAnsi="Times New Roman"/>
                <w:sz w:val="17"/>
                <w:szCs w:val="17"/>
                <w:b w:val="1"/>
                <w:bCs w:val="1"/>
                <w:color w:val="auto"/>
              </w:rPr>
              <w:t>3045 Park Boulevard</w:t>
            </w:r>
          </w:p>
        </w:tc>
      </w:tr>
      <w:tr>
        <w:trPr>
          <w:trHeight w:val="168"/>
        </w:trPr>
        <w:tc>
          <w:tcPr>
            <w:tcW w:w="2740" w:type="dxa"/>
            <w:vAlign w:val="bottom"/>
          </w:tcPr>
          <w:p>
            <w:pPr>
              <w:jc w:val="center"/>
              <w:ind w:right="634"/>
              <w:spacing w:after="0" w:line="168" w:lineRule="exact"/>
              <w:rPr>
                <w:sz w:val="20"/>
                <w:szCs w:val="20"/>
                <w:color w:val="auto"/>
              </w:rPr>
            </w:pPr>
            <w:r>
              <w:rPr>
                <w:rFonts w:ascii="Times New Roman" w:cs="Times New Roman" w:eastAsia="Times New Roman" w:hAnsi="Times New Roman"/>
                <w:sz w:val="17"/>
                <w:szCs w:val="17"/>
                <w:b w:val="1"/>
                <w:bCs w:val="1"/>
                <w:color w:val="auto"/>
                <w:w w:val="99"/>
              </w:rPr>
              <w:t>Jean Park</w:t>
            </w:r>
          </w:p>
        </w:tc>
        <w:tc>
          <w:tcPr>
            <w:tcW w:w="5080" w:type="dxa"/>
            <w:vAlign w:val="bottom"/>
          </w:tcPr>
          <w:p>
            <w:pPr>
              <w:jc w:val="center"/>
              <w:ind w:left="2674"/>
              <w:spacing w:after="0" w:line="168" w:lineRule="exact"/>
              <w:rPr>
                <w:sz w:val="20"/>
                <w:szCs w:val="20"/>
                <w:color w:val="auto"/>
              </w:rPr>
            </w:pPr>
            <w:r>
              <w:rPr>
                <w:rFonts w:ascii="Times New Roman" w:cs="Times New Roman" w:eastAsia="Times New Roman" w:hAnsi="Times New Roman"/>
                <w:sz w:val="17"/>
                <w:szCs w:val="17"/>
                <w:b w:val="1"/>
                <w:bCs w:val="1"/>
                <w:color w:val="auto"/>
              </w:rPr>
              <w:t>Palo Alto, California 94306</w:t>
            </w:r>
          </w:p>
        </w:tc>
      </w:tr>
      <w:tr>
        <w:trPr>
          <w:trHeight w:val="174"/>
        </w:trPr>
        <w:tc>
          <w:tcPr>
            <w:tcW w:w="2740" w:type="dxa"/>
            <w:vAlign w:val="bottom"/>
          </w:tcPr>
          <w:p>
            <w:pPr>
              <w:jc w:val="center"/>
              <w:ind w:right="634"/>
              <w:spacing w:after="0" w:line="174" w:lineRule="exact"/>
              <w:rPr>
                <w:sz w:val="20"/>
                <w:szCs w:val="20"/>
                <w:color w:val="auto"/>
              </w:rPr>
            </w:pPr>
            <w:r>
              <w:rPr>
                <w:rFonts w:ascii="Times New Roman" w:cs="Times New Roman" w:eastAsia="Times New Roman" w:hAnsi="Times New Roman"/>
                <w:sz w:val="17"/>
                <w:szCs w:val="17"/>
                <w:b w:val="1"/>
                <w:bCs w:val="1"/>
                <w:color w:val="auto"/>
              </w:rPr>
              <w:t>Cooley LLP</w:t>
            </w:r>
          </w:p>
        </w:tc>
        <w:tc>
          <w:tcPr>
            <w:tcW w:w="5080" w:type="dxa"/>
            <w:vAlign w:val="bottom"/>
          </w:tcPr>
          <w:p>
            <w:pPr>
              <w:jc w:val="center"/>
              <w:ind w:left="2674"/>
              <w:spacing w:after="0" w:line="174" w:lineRule="exact"/>
              <w:rPr>
                <w:sz w:val="20"/>
                <w:szCs w:val="20"/>
                <w:color w:val="auto"/>
              </w:rPr>
            </w:pPr>
            <w:r>
              <w:rPr>
                <w:rFonts w:ascii="Times New Roman" w:cs="Times New Roman" w:eastAsia="Times New Roman" w:hAnsi="Times New Roman"/>
                <w:sz w:val="17"/>
                <w:szCs w:val="17"/>
                <w:b w:val="1"/>
                <w:bCs w:val="1"/>
                <w:color w:val="auto"/>
              </w:rPr>
              <w:t>(888) 505-8747</w:t>
            </w:r>
          </w:p>
        </w:tc>
      </w:tr>
      <w:tr>
        <w:trPr>
          <w:trHeight w:val="176"/>
        </w:trPr>
        <w:tc>
          <w:tcPr>
            <w:tcW w:w="2740" w:type="dxa"/>
            <w:vAlign w:val="bottom"/>
          </w:tcPr>
          <w:p>
            <w:pPr>
              <w:jc w:val="center"/>
              <w:ind w:right="634"/>
              <w:spacing w:after="0" w:line="176" w:lineRule="exact"/>
              <w:rPr>
                <w:sz w:val="20"/>
                <w:szCs w:val="20"/>
                <w:color w:val="auto"/>
              </w:rPr>
            </w:pPr>
            <w:r>
              <w:rPr>
                <w:rFonts w:ascii="Times New Roman" w:cs="Times New Roman" w:eastAsia="Times New Roman" w:hAnsi="Times New Roman"/>
                <w:sz w:val="17"/>
                <w:szCs w:val="17"/>
                <w:b w:val="1"/>
                <w:bCs w:val="1"/>
                <w:color w:val="auto"/>
              </w:rPr>
              <w:t>3175 Hanover Street</w:t>
            </w:r>
          </w:p>
        </w:tc>
        <w:tc>
          <w:tcPr>
            <w:tcW w:w="5080" w:type="dxa"/>
            <w:vAlign w:val="bottom"/>
          </w:tcPr>
          <w:p>
            <w:pPr>
              <w:spacing w:after="0"/>
              <w:rPr>
                <w:sz w:val="15"/>
                <w:szCs w:val="15"/>
                <w:color w:val="auto"/>
              </w:rPr>
            </w:pPr>
          </w:p>
        </w:tc>
      </w:tr>
      <w:tr>
        <w:trPr>
          <w:trHeight w:val="168"/>
        </w:trPr>
        <w:tc>
          <w:tcPr>
            <w:tcW w:w="2740" w:type="dxa"/>
            <w:vAlign w:val="bottom"/>
          </w:tcPr>
          <w:p>
            <w:pPr>
              <w:jc w:val="center"/>
              <w:ind w:right="654"/>
              <w:spacing w:after="0" w:line="168" w:lineRule="exact"/>
              <w:rPr>
                <w:sz w:val="20"/>
                <w:szCs w:val="20"/>
                <w:color w:val="auto"/>
              </w:rPr>
            </w:pPr>
            <w:r>
              <w:rPr>
                <w:rFonts w:ascii="Times New Roman" w:cs="Times New Roman" w:eastAsia="Times New Roman" w:hAnsi="Times New Roman"/>
                <w:sz w:val="17"/>
                <w:szCs w:val="17"/>
                <w:b w:val="1"/>
                <w:bCs w:val="1"/>
                <w:color w:val="auto"/>
              </w:rPr>
              <w:t>Palo Alto, California 94304</w:t>
            </w:r>
          </w:p>
        </w:tc>
        <w:tc>
          <w:tcPr>
            <w:tcW w:w="5080" w:type="dxa"/>
            <w:vAlign w:val="bottom"/>
          </w:tcPr>
          <w:p>
            <w:pPr>
              <w:spacing w:after="0"/>
              <w:rPr>
                <w:sz w:val="14"/>
                <w:szCs w:val="14"/>
                <w:color w:val="auto"/>
              </w:rPr>
            </w:pPr>
          </w:p>
        </w:tc>
      </w:tr>
      <w:tr>
        <w:trPr>
          <w:trHeight w:val="228"/>
        </w:trPr>
        <w:tc>
          <w:tcPr>
            <w:tcW w:w="2740" w:type="dxa"/>
            <w:vAlign w:val="bottom"/>
          </w:tcPr>
          <w:p>
            <w:pPr>
              <w:jc w:val="center"/>
              <w:ind w:right="654"/>
              <w:spacing w:after="0"/>
              <w:rPr>
                <w:sz w:val="20"/>
                <w:szCs w:val="20"/>
                <w:color w:val="auto"/>
              </w:rPr>
            </w:pPr>
            <w:r>
              <w:rPr>
                <w:rFonts w:ascii="Times New Roman" w:cs="Times New Roman" w:eastAsia="Times New Roman" w:hAnsi="Times New Roman"/>
                <w:sz w:val="17"/>
                <w:szCs w:val="17"/>
                <w:b w:val="1"/>
                <w:bCs w:val="1"/>
                <w:color w:val="auto"/>
              </w:rPr>
              <w:t>(650) 843-5000</w:t>
            </w:r>
          </w:p>
        </w:tc>
        <w:tc>
          <w:tcPr>
            <w:tcW w:w="50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69215</wp:posOffset>
            </wp:positionV>
            <wp:extent cx="1192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13"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17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800" w:type="dxa"/>
            <w:vAlign w:val="bottom"/>
          </w:tcPr>
          <w:p>
            <w:pPr>
              <w:ind w:left="1620"/>
              <w:spacing w:after="0"/>
              <w:rPr>
                <w:sz w:val="20"/>
                <w:szCs w:val="20"/>
                <w:color w:val="auto"/>
              </w:rPr>
            </w:pPr>
            <w:r>
              <w:rPr>
                <w:rFonts w:ascii="Wingdings" w:cs="Wingdings" w:eastAsia="Wingdings" w:hAnsi="Wingdings"/>
                <w:sz w:val="17"/>
                <w:szCs w:val="17"/>
                <w:b w:val="1"/>
                <w:bCs w:val="1"/>
                <w:color w:val="auto"/>
              </w:rPr>
              <w:t>o</w:t>
            </w:r>
          </w:p>
        </w:tc>
      </w:tr>
      <w:tr>
        <w:trPr>
          <w:trHeight w:val="25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17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800" w:type="dxa"/>
            <w:vAlign w:val="bottom"/>
          </w:tcPr>
          <w:p>
            <w:pPr>
              <w:ind w:left="1620"/>
              <w:spacing w:after="0"/>
              <w:rPr>
                <w:sz w:val="20"/>
                <w:szCs w:val="20"/>
                <w:color w:val="auto"/>
              </w:rPr>
            </w:pPr>
            <w:r>
              <w:rPr>
                <w:rFonts w:ascii="Wingdings" w:cs="Wingdings" w:eastAsia="Wingdings" w:hAnsi="Wingdings"/>
                <w:sz w:val="17"/>
                <w:szCs w:val="17"/>
                <w:b w:val="1"/>
                <w:bCs w:val="1"/>
                <w:color w:val="auto"/>
              </w:rPr>
              <w:t>o</w:t>
            </w:r>
          </w:p>
        </w:tc>
      </w:tr>
      <w:tr>
        <w:trPr>
          <w:trHeight w:val="259"/>
        </w:trPr>
        <w:tc>
          <w:tcPr>
            <w:tcW w:w="33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800" w:type="dxa"/>
            <w:vAlign w:val="bottom"/>
          </w:tcPr>
          <w:p>
            <w:pPr>
              <w:ind w:left="1620"/>
              <w:spacing w:after="0"/>
              <w:rPr>
                <w:sz w:val="20"/>
                <w:szCs w:val="20"/>
                <w:color w:val="auto"/>
              </w:rPr>
            </w:pPr>
            <w:r>
              <w:rPr>
                <w:rFonts w:ascii="Wingdings" w:cs="Wingdings" w:eastAsia="Wingdings" w:hAnsi="Wingdings"/>
                <w:sz w:val="17"/>
                <w:szCs w:val="17"/>
                <w:b w:val="1"/>
                <w:bCs w:val="1"/>
                <w:color w:val="auto"/>
                <w:w w:val="88"/>
              </w:rPr>
              <w:t>x</w:t>
            </w:r>
          </w:p>
        </w:tc>
      </w:tr>
    </w:tbl>
    <w:p>
      <w:pPr>
        <w:spacing w:after="0" w:line="227" w:lineRule="exact"/>
        <w:rPr>
          <w:sz w:val="24"/>
          <w:szCs w:val="24"/>
          <w:color w:val="auto"/>
        </w:rPr>
      </w:pPr>
    </w:p>
    <w:p>
      <w:pPr>
        <w:ind w:right="400"/>
        <w:spacing w:after="0" w:line="29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Wingdings" w:cs="Wingdings" w:eastAsia="Wingdings" w:hAnsi="Wingdings"/>
          <w:sz w:val="17"/>
          <w:szCs w:val="17"/>
          <w:b w:val="1"/>
          <w:bCs w:val="1"/>
          <w:color w:val="auto"/>
        </w:rPr>
        <w:t>o</w:t>
      </w:r>
    </w:p>
    <w:p>
      <w:pPr>
        <w:sectPr>
          <w:pgSz w:w="11900" w:h="16838" w:orient="portrait"/>
          <w:cols w:equalWidth="0" w:num="1">
            <w:col w:w="11200"/>
          </w:cols>
          <w:pgMar w:left="320" w:top="609" w:right="379" w:bottom="1440" w:gutter="0" w:footer="0" w:header="0"/>
          <w:type w:val="continuous"/>
        </w:sectPr>
      </w:pPr>
    </w:p>
    <w:bookmarkStart w:id="1" w:name="page2"/>
    <w:bookmarkEnd w:id="1"/>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some or all of those shares of Class A common stock (the “Shares”) of Navan, Inc., a Delaware corporation (“us”, “we” or the “Registrant”), referred to herein that constitute “restricted securities” within the meaning of the Securities Act of 1933, as amended (the “Securities Act”), and Instruction C of the General Instructions to Form S-8, by certain stockholders that are current or former employees (excluding officers and directors) of the Registrant (the “Selling Stockholders”) for their own accounts. Certain of the Selling Stockholders may be eligible to sell their Shares prior to the expiration of the lock-up agreements that they have entered into with the underwriters for our initial public offering, pursuant to release provisions in such lock-up agreements as described in the section titled “Shares Eligible for Future Sale” in our registration statement on Form S-1, initially filed with the Securities and Exchange Commission on September 19, 2025 and as amended from time to time thereafter (File No. 333-290396). Subject to such lock-up agreements, the Selling Stockholders may sell any, all, or none of the Shares, and we do not know when or in what amount the Selling Stockholders may sell their Shares, if they were to sell any, hereunder following the effective date of this registration statement.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119380</wp:posOffset>
            </wp:positionV>
            <wp:extent cx="2581910" cy="649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191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Navan,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6,245,983 Shares of Class A Common Stock</w:t>
      </w:r>
    </w:p>
    <w:p>
      <w:pPr>
        <w:spacing w:after="0" w:line="232"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This prospectus relates to 6,245,983 shares of Class A common stock, par value $0.00000625 per share (the “Shares”), of Navan, Inc., a Delaware corporation, which Shares may be offered from time to time by certain stockholders that are our current or former employees (excluding officers and directors) (the “Selling Stockholders”), for their own accounts. We will not receive any of the proceeds from the sale of Shares by the Selling Stockholders made hereunder. The Shares were or will be acquired by the Selling Stockholders pursuant to the Navan, Inc. 2015 Equity Incentive Plan (as amended and/or restated, the “2015 Plan”) or other “employee benefit plans” as such term is defined in Rule 405 under the Securities Act.</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Selling Stockholders may sell the securities described in this prospectus in a number of different ways and at varying prices, including sales in the open market, sales in negotiated transactions and sales by a combination of these methods. Certain of the Selling Stockholders may be eligible to sell their Shares prior to the expiration of the lock-up agreements that they have entered into with the underwriters for our initial public offering, pursuant to release provisions in such lock-up agreements as described in the section titled “Shares Eligible for Future Sale” in our registration statement on Form S-1, filed with the Securities and Exchange Commission on September 19, 2025 and as amended from time to time thereafter (File No. 333-290396). Subject to such lock-up agreements, the Selling Stockholders may sell any, all, or none of the Shares, and we do not know when or in what amount the Selling Stockholders may sell their Shares, if they were to sell any,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our Class A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2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Our Class A common stock has been approved for listing on the Nasdaq Global Select Market (“Nasdaq”) under the symbol “NAVN.” The initial public offering price of our Class A common stock pursuant to our Registration Statement on Form S-1, as amended, which became effective on October 29, 2025, was $25.00 per share.</w:t>
      </w:r>
    </w:p>
    <w:p>
      <w:pPr>
        <w:spacing w:after="0" w:line="11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The amount of securities to be offered or resold under this reoffer prospectus by each Selling Stockholder or other person with whom he or she is acting in concert for the purpose of selling our securities, may not exceed, during any three month period, the amount specified in Rule 144(e) under the Securities Act.</w:t>
      </w:r>
    </w:p>
    <w:p>
      <w:pPr>
        <w:spacing w:after="0" w:line="94"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federal securities laws, and as such, we have elected to comply with certain reduced public company reporting requirements for this prospectus and may elect to do so in future filings.</w:t>
      </w:r>
    </w:p>
    <w:p>
      <w:pPr>
        <w:spacing w:after="0" w:line="9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color w:val="auto"/>
        </w:rPr>
        <w:t>Investing in our Class A common stock involves a high degree of risk. Before buying any shares of our Class A common stock, you should carefully read the discussion of the risks of investing in our Class A common stock in the section titled “</w:t>
      </w:r>
      <w:r>
        <w:rPr>
          <w:rFonts w:ascii="Times New Roman" w:cs="Times New Roman" w:eastAsia="Times New Roman" w:hAnsi="Times New Roman"/>
          <w:sz w:val="17"/>
          <w:szCs w:val="17"/>
          <w:b w:val="1"/>
          <w:bCs w:val="1"/>
          <w:u w:val="single" w:color="auto"/>
          <w:color w:val="0000FF"/>
        </w:rPr>
        <w:t>Risk Factors</w:t>
      </w:r>
      <w:r>
        <w:rPr>
          <w:rFonts w:ascii="Times New Roman" w:cs="Times New Roman" w:eastAsia="Times New Roman" w:hAnsi="Times New Roman"/>
          <w:sz w:val="17"/>
          <w:szCs w:val="17"/>
          <w:b w:val="1"/>
          <w:bCs w:val="1"/>
          <w:color w:val="auto"/>
        </w:rPr>
        <w:t xml:space="preserve">” included or incorporated by reference into this prospectus on page </w:t>
      </w:r>
      <w:r>
        <w:rPr>
          <w:rFonts w:ascii="Times New Roman" w:cs="Times New Roman" w:eastAsia="Times New Roman" w:hAnsi="Times New Roman"/>
          <w:sz w:val="17"/>
          <w:szCs w:val="17"/>
          <w:b w:val="1"/>
          <w:bCs w:val="1"/>
          <w:u w:val="single" w:color="auto"/>
          <w:color w:val="0000FF"/>
        </w:rPr>
        <w:t>4</w:t>
      </w:r>
      <w:r>
        <w:rPr>
          <w:rFonts w:ascii="Times New Roman" w:cs="Times New Roman" w:eastAsia="Times New Roman" w:hAnsi="Times New Roman"/>
          <w:sz w:val="17"/>
          <w:szCs w:val="17"/>
          <w:b w:val="1"/>
          <w:bCs w:val="1"/>
          <w:color w:val="auto"/>
        </w:rPr>
        <w:t>.</w:t>
      </w:r>
    </w:p>
    <w:p>
      <w:pPr>
        <w:spacing w:after="0" w:line="10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7"/>
          <w:szCs w:val="17"/>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116"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October 30, 2025</w:t>
      </w:r>
    </w:p>
    <w:p>
      <w:pPr>
        <w:sectPr>
          <w:pgSz w:w="11900" w:h="16838" w:orient="portrait"/>
          <w:cols w:equalWidth="0" w:num="1">
            <w:col w:w="11240"/>
          </w:cols>
          <w:pgMar w:left="320" w:top="896" w:right="339" w:bottom="1440" w:gutter="0" w:footer="0" w:header="0"/>
        </w:sectPr>
      </w:pPr>
    </w:p>
    <w:bookmarkStart w:id="3" w:name="page4"/>
    <w:bookmarkEnd w:id="3"/>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0"/>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THE COMPANY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7"/>
              </w:rPr>
              <w:t>RISK FACTORS</w:t>
            </w:r>
          </w:p>
        </w:tc>
        <w:tc>
          <w:tcPr>
            <w:tcW w:w="9180" w:type="dxa"/>
            <w:vAlign w:val="bottom"/>
            <w:gridSpan w:val="11"/>
          </w:tcPr>
          <w:p>
            <w:pPr>
              <w:spacing w:after="0"/>
              <w:rPr>
                <w:sz w:val="24"/>
                <w:szCs w:val="24"/>
                <w:color w:val="auto"/>
              </w:rPr>
            </w:pPr>
          </w:p>
        </w:tc>
        <w:tc>
          <w:tcPr>
            <w:tcW w:w="74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4</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1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SPECIAL NOTE REGARDING FORWARD-LOOKING STATEMENTS</w:t>
            </w:r>
          </w:p>
        </w:tc>
        <w:tc>
          <w:tcPr>
            <w:tcW w:w="5260" w:type="dxa"/>
            <w:vAlign w:val="bottom"/>
            <w:gridSpan w:val="3"/>
          </w:tcPr>
          <w:p>
            <w:pPr>
              <w:spacing w:after="0"/>
              <w:rPr>
                <w:sz w:val="24"/>
                <w:szCs w:val="24"/>
                <w:color w:val="auto"/>
              </w:rPr>
            </w:pPr>
          </w:p>
        </w:tc>
        <w:tc>
          <w:tcPr>
            <w:tcW w:w="74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USE OF PROCEEDS</w:t>
            </w:r>
          </w:p>
        </w:tc>
        <w:tc>
          <w:tcPr>
            <w:tcW w:w="3600" w:type="dxa"/>
            <w:vAlign w:val="bottom"/>
            <w:gridSpan w:val="6"/>
          </w:tcPr>
          <w:p>
            <w:pPr>
              <w:spacing w:after="0"/>
              <w:rPr>
                <w:sz w:val="24"/>
                <w:szCs w:val="24"/>
                <w:color w:val="auto"/>
              </w:rPr>
            </w:pPr>
          </w:p>
        </w:tc>
        <w:tc>
          <w:tcPr>
            <w:tcW w:w="5260" w:type="dxa"/>
            <w:vAlign w:val="bottom"/>
            <w:gridSpan w:val="3"/>
          </w:tcPr>
          <w:p>
            <w:pPr>
              <w:spacing w:after="0"/>
              <w:rPr>
                <w:sz w:val="24"/>
                <w:szCs w:val="24"/>
                <w:color w:val="auto"/>
              </w:rPr>
            </w:pPr>
          </w:p>
        </w:tc>
        <w:tc>
          <w:tcPr>
            <w:tcW w:w="74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7</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SELLING STOCKHOLDERS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1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PLAN OF DISTRIBUTION</w:t>
            </w:r>
          </w:p>
        </w:tc>
        <w:tc>
          <w:tcPr>
            <w:tcW w:w="8260" w:type="dxa"/>
            <w:vAlign w:val="bottom"/>
            <w:gridSpan w:val="6"/>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11</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LEGAL MATTERS</w:t>
            </w:r>
          </w:p>
        </w:tc>
        <w:tc>
          <w:tcPr>
            <w:tcW w:w="560" w:type="dxa"/>
            <w:vAlign w:val="bottom"/>
            <w:gridSpan w:val="3"/>
          </w:tcPr>
          <w:p>
            <w:pPr>
              <w:spacing w:after="0"/>
              <w:rPr>
                <w:sz w:val="24"/>
                <w:szCs w:val="24"/>
                <w:color w:val="auto"/>
              </w:rPr>
            </w:pPr>
          </w:p>
        </w:tc>
        <w:tc>
          <w:tcPr>
            <w:tcW w:w="8420" w:type="dxa"/>
            <w:vAlign w:val="bottom"/>
            <w:gridSpan w:val="7"/>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13</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EXPERTS</w:t>
            </w:r>
          </w:p>
        </w:tc>
        <w:tc>
          <w:tcPr>
            <w:tcW w:w="660" w:type="dxa"/>
            <w:vAlign w:val="bottom"/>
            <w:gridSpan w:val="3"/>
          </w:tcPr>
          <w:p>
            <w:pPr>
              <w:spacing w:after="0"/>
              <w:rPr>
                <w:sz w:val="24"/>
                <w:szCs w:val="24"/>
                <w:color w:val="auto"/>
              </w:rPr>
            </w:pPr>
          </w:p>
        </w:tc>
        <w:tc>
          <w:tcPr>
            <w:tcW w:w="8980" w:type="dxa"/>
            <w:vAlign w:val="bottom"/>
            <w:gridSpan w:val="10"/>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13</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INFORMATION INCORPORATED BY REFERENCE</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14</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42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WHERE YOU CAN FIND ADDITIONAL INFORMATION</w:t>
            </w:r>
          </w:p>
        </w:tc>
        <w:tc>
          <w:tcPr>
            <w:tcW w:w="6140" w:type="dxa"/>
            <w:vAlign w:val="bottom"/>
            <w:gridSpan w:val="4"/>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15</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PART I INFORMATION REQUIRED IN THE SECTION 10(A) PROSPECTUS</w:t>
            </w:r>
          </w:p>
        </w:tc>
        <w:tc>
          <w:tcPr>
            <w:tcW w:w="66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70"/>
              </w:rPr>
              <w:t>I-1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PART II INFORMATION REQUIRED IN REGISTRATION STATEMENT</w:t>
            </w:r>
          </w:p>
        </w:tc>
        <w:tc>
          <w:tcPr>
            <w:tcW w:w="66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1"/>
              </w:rPr>
              <w:t>II-1</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560" w:type="dxa"/>
            <w:vAlign w:val="bottom"/>
            <w:gridSpan w:val="8"/>
            <w:shd w:val="clear" w:color="auto" w:fill="0000FF"/>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3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EXHIBITS</w:t>
            </w:r>
          </w:p>
        </w:tc>
        <w:tc>
          <w:tcPr>
            <w:tcW w:w="66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1"/>
              </w:rPr>
              <w:t>II-3</w:t>
            </w:r>
          </w:p>
        </w:tc>
      </w:tr>
      <w:tr>
        <w:trPr>
          <w:trHeight w:val="20"/>
        </w:trPr>
        <w:tc>
          <w:tcPr>
            <w:tcW w:w="78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56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9"/>
              </w:rPr>
              <w:t>POWER OF ATTORNEY</w:t>
            </w:r>
          </w:p>
        </w:tc>
        <w:tc>
          <w:tcPr>
            <w:tcW w:w="85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1"/>
              </w:rPr>
              <w:t>II-5</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Neither we nor any of the Selling Stockholders has authorized anyone to provide you with any information or to make any representations other than those contained in this prospectus or in any accompanying prospectus supplement we have prepared. Neither we nor any of the Selling Stockholders takes any responsibility for, and can provide no assurance as to the reliability of, any other information that others may give you.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20"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Our design logos, “Navan,” and our other registered or common law trademarks, service marks, or trade names appearing in this prospectus are the property of Navan, Inc. or its affiliates. Other trademarks, trade names, and service marks used in this prospectus are the property of their respective owners.</w:t>
      </w:r>
    </w:p>
    <w:p>
      <w:pPr>
        <w:spacing w:after="0" w:line="9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Unless the context otherwise requires, all references in this prospectus to “we,” “us,” “our,” “our company,” and “Navan” refer to Navan,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974725</wp:posOffset>
            </wp:positionV>
            <wp:extent cx="7142480" cy="641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641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Travel is more than just getting from point A to point B; it’s the lifeblood of connection in the modern business world. It's about forging those critical in-person relationships with clients and partners, sparking innovation through team collaboration, and empowering employees to grow and succeed. These moments matter, and they demand a travel experience worthy of their importance. We built Navan for the road warriors, for CEOs and CFOs who understand travel’s critical importance to their strategy, the finance teams who demand precision and control, the executive assistants juggling itineraries, and the program admins ensuring seamless events.</w:t>
      </w:r>
    </w:p>
    <w:p>
      <w:pPr>
        <w:spacing w:after="0" w:line="12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7"/>
          <w:szCs w:val="17"/>
          <w:color w:val="auto"/>
        </w:rPr>
        <w:t>Navan is an end-to-end, AI-powered software platform built to simplify the global business travel and expense, or T&amp;E, experience, benefiting users, customers, and suppliers. From day one, we leveraged technology to reimagine business travel. We built a comprehensive platform that serves as the foundation for further disruption. We deliver delightful, personalized experiences for users, efficiency and control for customers, and direct market access for suppliers—all powered by our proprietary artificial intelligence, or AI, framework, Navan Cognition.</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We saw firsthand the frustration of clunky, outdated systems. Travelers were forced to cobble together solutions, wait for hours on hold to book or change travel, and negotiate with travel agents. They struggled to adhere to company policies, with little visibility into those policies, and after all that, they spent even more time on tedious expense reports after a trip. We felt the pain of finance teams struggling to gain visibility into fragmented travel spending and to enforce policies, and the frustration of suppliers unable to connect directly with the high-value business travelers they sought to serve.</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Navan challenges this status quo by putting all three constituents—users, customers, and suppliers—at the heart of an integrated global platform. With Navan, users enjoy intuitive, AI-powered booking that anticipates users’ needs and takes a fraction of the time of legacy booking systems. Users also get expense management and clear policy guidance built-in. Customers gain real-time visibility, cost control, and safety oversight, and suppliers gain direct access to the customers who matter most. Instead of having to compromise, every group benefits, and the whole network becomes greater than the sum of its parts.</w:t>
      </w:r>
    </w:p>
    <w:p>
      <w:pPr>
        <w:spacing w:after="0" w:line="12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7"/>
          <w:szCs w:val="17"/>
          <w:color w:val="auto"/>
        </w:rPr>
        <w:t>Navan was built on the premise that to win, all players in the ecosystem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its cohesive offering, Navan is unlocking a smarter, more rewarding future for travel—one where everyone wins.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6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Investing in our Class A common stock involves numerous risks, including the risks described in the section titled “Risk Factors” and in the final prospectus relating to our Registration Statement on Form S-1 (File No. 333-290396), filed with the SEC on October 30, 2025, which are incorporated by reference herein, and subsequent reports filed with the SEC, together with the financial and other information, contained or incorporated by reference in this prospectus. You should carefully consider these risks before making an investment. Below are some of these risks, any one of which could materially adversely affect our business, financial condition, results of operations, and prospects.</w:t>
      </w:r>
    </w:p>
    <w:p>
      <w:pPr>
        <w:spacing w:after="0" w:line="120" w:lineRule="exact"/>
        <w:rPr>
          <w:sz w:val="20"/>
          <w:szCs w:val="20"/>
          <w:color w:val="auto"/>
        </w:rPr>
      </w:pPr>
    </w:p>
    <w:p>
      <w:pPr>
        <w:jc w:val="both"/>
        <w:ind w:left="620" w:right="100" w:hanging="307"/>
        <w:spacing w:after="0" w:line="291"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95" w:lineRule="exact"/>
        <w:rPr>
          <w:rFonts w:ascii="Times New Roman" w:cs="Times New Roman" w:eastAsia="Times New Roman" w:hAnsi="Times New Roman"/>
          <w:sz w:val="17"/>
          <w:szCs w:val="17"/>
          <w:color w:val="auto"/>
        </w:rPr>
      </w:pPr>
    </w:p>
    <w:p>
      <w:pPr>
        <w:ind w:left="620" w:right="40" w:hanging="307"/>
        <w:spacing w:after="0" w:line="291"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9940"/>
          </w:cols>
          <w:pgMar w:left="960" w:top="1440" w:right="9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974725</wp:posOffset>
            </wp:positionV>
            <wp:extent cx="7142480" cy="6903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69037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20" w:right="42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Shifts in business travel trends or any decline in business travel demand would negatively impact our business, growth, results of operations, and financial condition.</w:t>
      </w:r>
    </w:p>
    <w:p>
      <w:pPr>
        <w:spacing w:after="0" w:line="95" w:lineRule="exact"/>
        <w:rPr>
          <w:rFonts w:ascii="Times New Roman" w:cs="Times New Roman" w:eastAsia="Times New Roman" w:hAnsi="Times New Roman"/>
          <w:sz w:val="17"/>
          <w:szCs w:val="17"/>
          <w:color w:val="auto"/>
        </w:rPr>
      </w:pPr>
    </w:p>
    <w:p>
      <w:pPr>
        <w:ind w:left="620" w:right="40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attract new customers and grow our customer base, which would negatively impact our revenue growth and results of operations.</w:t>
      </w:r>
    </w:p>
    <w:p>
      <w:pPr>
        <w:spacing w:after="0" w:line="95" w:lineRule="exact"/>
        <w:rPr>
          <w:rFonts w:ascii="Times New Roman" w:cs="Times New Roman" w:eastAsia="Times New Roman" w:hAnsi="Times New Roman"/>
          <w:sz w:val="17"/>
          <w:szCs w:val="17"/>
          <w:color w:val="auto"/>
        </w:rPr>
      </w:pPr>
    </w:p>
    <w:p>
      <w:pPr>
        <w:ind w:left="620" w:right="34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95" w:lineRule="exact"/>
        <w:rPr>
          <w:rFonts w:ascii="Times New Roman" w:cs="Times New Roman" w:eastAsia="Times New Roman" w:hAnsi="Times New Roman"/>
          <w:sz w:val="17"/>
          <w:szCs w:val="17"/>
          <w:color w:val="auto"/>
        </w:rPr>
      </w:pPr>
    </w:p>
    <w:p>
      <w:pPr>
        <w:ind w:left="620" w:right="8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offer high-quality customer support, including through our AI-powered virtual agents, or if our support is more expensive than anticipated, our business, margins, and reputation could suffer.</w:t>
      </w:r>
    </w:p>
    <w:p>
      <w:pPr>
        <w:spacing w:after="0" w:line="9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Travel Management offerings depend on our relationships with suppliers.</w:t>
      </w:r>
    </w:p>
    <w:p>
      <w:pPr>
        <w:spacing w:after="0" w:line="16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operating losses and may not achieve or sustain profitability in the future.</w:t>
      </w:r>
    </w:p>
    <w:p>
      <w:pPr>
        <w:spacing w:after="0" w:line="167" w:lineRule="exact"/>
        <w:rPr>
          <w:rFonts w:ascii="Times New Roman" w:cs="Times New Roman" w:eastAsia="Times New Roman" w:hAnsi="Times New Roman"/>
          <w:sz w:val="17"/>
          <w:szCs w:val="17"/>
          <w:color w:val="auto"/>
        </w:rPr>
      </w:pPr>
    </w:p>
    <w:p>
      <w:pPr>
        <w:ind w:left="620" w:hanging="307"/>
        <w:spacing w:after="0" w:line="27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your investment.</w:t>
      </w:r>
    </w:p>
    <w:p>
      <w:pPr>
        <w:spacing w:after="0" w:line="109" w:lineRule="exact"/>
        <w:rPr>
          <w:rFonts w:ascii="Times New Roman" w:cs="Times New Roman" w:eastAsia="Times New Roman" w:hAnsi="Times New Roman"/>
          <w:sz w:val="17"/>
          <w:szCs w:val="17"/>
          <w:color w:val="auto"/>
        </w:rPr>
      </w:pPr>
    </w:p>
    <w:p>
      <w:pPr>
        <w:ind w:left="620" w:right="46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may fluctuate significantly, which could make our future results difficult to predict and could cause our results of operations to fall below expectations.</w:t>
      </w:r>
    </w:p>
    <w:p>
      <w:pPr>
        <w:spacing w:after="0" w:line="95" w:lineRule="exact"/>
        <w:rPr>
          <w:rFonts w:ascii="Times New Roman" w:cs="Times New Roman" w:eastAsia="Times New Roman" w:hAnsi="Times New Roman"/>
          <w:sz w:val="17"/>
          <w:szCs w:val="17"/>
          <w:color w:val="auto"/>
        </w:rPr>
      </w:pPr>
    </w:p>
    <w:p>
      <w:pPr>
        <w:ind w:left="620" w:right="200" w:hanging="307"/>
        <w:spacing w:after="0" w:line="27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09" w:lineRule="exact"/>
        <w:rPr>
          <w:rFonts w:ascii="Times New Roman" w:cs="Times New Roman" w:eastAsia="Times New Roman" w:hAnsi="Times New Roman"/>
          <w:sz w:val="17"/>
          <w:szCs w:val="17"/>
          <w:color w:val="auto"/>
        </w:rPr>
      </w:pPr>
    </w:p>
    <w:p>
      <w:pPr>
        <w:ind w:left="620" w:right="34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plan to continue expanding our international operations which could subject us to additional costs and risks, and our continued expansion internationally may not be successful.</w:t>
      </w:r>
    </w:p>
    <w:p>
      <w:pPr>
        <w:spacing w:after="0" w:line="95" w:lineRule="exact"/>
        <w:rPr>
          <w:rFonts w:ascii="Times New Roman" w:cs="Times New Roman" w:eastAsia="Times New Roman" w:hAnsi="Times New Roman"/>
          <w:sz w:val="17"/>
          <w:szCs w:val="17"/>
          <w:color w:val="auto"/>
        </w:rPr>
      </w:pPr>
    </w:p>
    <w:p>
      <w:pPr>
        <w:ind w:left="620" w:right="28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effectively develop and expand our sales and marketing capabilities could harm our ability to increase our customer base and achieve broader market acceptance of our platform.</w:t>
      </w:r>
    </w:p>
    <w:p>
      <w:pPr>
        <w:spacing w:after="0" w:line="95" w:lineRule="exact"/>
        <w:rPr>
          <w:rFonts w:ascii="Times New Roman" w:cs="Times New Roman" w:eastAsia="Times New Roman" w:hAnsi="Times New Roman"/>
          <w:sz w:val="17"/>
          <w:szCs w:val="17"/>
          <w:color w:val="auto"/>
        </w:rPr>
      </w:pPr>
    </w:p>
    <w:p>
      <w:pPr>
        <w:ind w:left="620" w:right="16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adapt and respond effectively to rapidly changing technology, evolving industry standards, and changing customer needs or preferences, our platform may become less competitive.</w:t>
      </w:r>
    </w:p>
    <w:p>
      <w:pPr>
        <w:spacing w:after="0" w:line="95" w:lineRule="exact"/>
        <w:rPr>
          <w:rFonts w:ascii="Times New Roman" w:cs="Times New Roman" w:eastAsia="Times New Roman" w:hAnsi="Times New Roman"/>
          <w:sz w:val="17"/>
          <w:szCs w:val="17"/>
          <w:color w:val="auto"/>
        </w:rPr>
      </w:pPr>
    </w:p>
    <w:p>
      <w:pPr>
        <w:ind w:left="620" w:right="260" w:hanging="307"/>
        <w:spacing w:after="0" w:line="273"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AI, including generative AI and machine learning (“ML”) gives rise to legal, business, and operational risks, which may result in diminished performance, regulatory scrutiny, social impacts, reputational harm, and liability arising from the use of this technology.</w:t>
      </w:r>
    </w:p>
    <w:p>
      <w:pPr>
        <w:spacing w:after="0" w:line="109" w:lineRule="exact"/>
        <w:rPr>
          <w:rFonts w:ascii="Times New Roman" w:cs="Times New Roman" w:eastAsia="Times New Roman" w:hAnsi="Times New Roman"/>
          <w:sz w:val="17"/>
          <w:szCs w:val="17"/>
          <w:color w:val="auto"/>
        </w:rPr>
      </w:pPr>
    </w:p>
    <w:p>
      <w:pPr>
        <w:ind w:left="620" w:right="40" w:hanging="307"/>
        <w:spacing w:after="0" w:line="266"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Class A common stock may be volatile, and you could lose all or part of your investment.</w:t>
      </w:r>
    </w:p>
    <w:p>
      <w:pPr>
        <w:spacing w:after="0" w:line="167" w:lineRule="exact"/>
        <w:rPr>
          <w:rFonts w:ascii="Times New Roman" w:cs="Times New Roman" w:eastAsia="Times New Roman" w:hAnsi="Times New Roman"/>
          <w:sz w:val="17"/>
          <w:szCs w:val="17"/>
          <w:color w:val="auto"/>
        </w:rPr>
      </w:pPr>
    </w:p>
    <w:p>
      <w:pPr>
        <w:ind w:left="620" w:right="280" w:hanging="307"/>
        <w:spacing w:after="0" w:line="29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power with Ariel Cohen and Ilan Twig, our co-founders, which will limit your ability to influence the outcome of important transactions, including a change in control.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9960"/>
          </w:cols>
          <w:pgMar w:left="960" w:top="1440" w:right="9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974725</wp:posOffset>
            </wp:positionV>
            <wp:extent cx="7142480" cy="134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34493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were incorporated in the State of Delaware in February 2015. Our principal executive offices are located at 3045 Park Boulevard, Palo Alto, California 94306. Our telephone number is (888) 505-8747. Our website address is www.navan.com. The information contained on, or that can be accessed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9940"/>
          </w:cols>
          <w:pgMar w:left="960" w:top="1440" w:right="999" w:bottom="1440" w:gutter="0" w:footer="0" w:header="0"/>
        </w:sectPr>
      </w:pPr>
    </w:p>
    <w:bookmarkStart w:id="7" w:name="page8"/>
    <w:bookmarkEnd w:id="7"/>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An investment in shares of our Class A common stock is highly speculative and involves a high degree of risk. We face a variety of risks that may affect our operations or financial results and many of those risks are driven by factors that we cannot control or predict. Before investing in our common stock, you should carefully consider the risks set forth under the caption “Risk Factors” in our Registration Statement on Form S-1, as amended (File No. 333-290396), initially filed with the SEC on September 19, 2025, which are incorporated by reference herein, and subsequent reports filed with the SEC, together with the financial and other information contained or incorporated by reference in this prospectus. If any of these risks actually occur, our business, prospects, financial condition and results of operations could be materially adversely affected. In that case, the trading price of our Class A common stock would likely decline and you may lose all or a part of your investment. Only those investors who can bear the risk of loss of their entire investment should invest in our Class A common stock.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00"/>
          </w:cols>
          <w:pgMar w:left="320" w:top="1440" w:right="379" w:bottom="1440" w:gutter="0" w:footer="0" w:header="0"/>
        </w:sectPr>
      </w:pPr>
    </w:p>
    <w:bookmarkStart w:id="8" w:name="page9"/>
    <w:bookmarkEnd w:id="8"/>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contain forward-looking statements. All statements contained or incorporated by reference in this prospectus other than statements of historical fact,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Forward-looking statements contained in this prospectus include, but are not limited to, statements about:</w:t>
      </w:r>
    </w:p>
    <w:p>
      <w:pPr>
        <w:spacing w:after="0" w:line="167" w:lineRule="exact"/>
        <w:rPr>
          <w:sz w:val="20"/>
          <w:szCs w:val="20"/>
          <w:color w:val="auto"/>
        </w:rPr>
      </w:pPr>
    </w:p>
    <w:p>
      <w:pPr>
        <w:ind w:left="62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plan and our ability to effectively manage our growth;</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total market opportunity;</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growth rates, and challenges in our business and in the markets in which we operate;</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overall demand for business travel and global travel trends;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customers’ T&amp;E budgets and IT spending budgets;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platform and our ability to increase adoption of our platform;</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beliefs and objectives for future operations;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retain and grow sales within our existing customers;</w:t>
      </w:r>
    </w:p>
    <w:p>
      <w:pPr>
        <w:spacing w:after="0" w:line="167" w:lineRule="exact"/>
        <w:rPr>
          <w:rFonts w:ascii="Times New Roman" w:cs="Times New Roman" w:eastAsia="Times New Roman" w:hAnsi="Times New Roman"/>
          <w:sz w:val="17"/>
          <w:szCs w:val="17"/>
          <w:color w:val="auto"/>
        </w:rPr>
      </w:pPr>
    </w:p>
    <w:p>
      <w:pPr>
        <w:ind w:left="620" w:right="50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drive adoption and expansion of our additional offerings, including Payments, Expense Management, Meetings and Events, VIP, and Bleisure;</w:t>
      </w:r>
    </w:p>
    <w:p>
      <w:pPr>
        <w:spacing w:after="0" w:line="95" w:lineRule="exact"/>
        <w:rPr>
          <w:rFonts w:ascii="Times New Roman" w:cs="Times New Roman" w:eastAsia="Times New Roman" w:hAnsi="Times New Roman"/>
          <w:sz w:val="17"/>
          <w:szCs w:val="17"/>
          <w:color w:val="auto"/>
        </w:rPr>
      </w:pPr>
    </w:p>
    <w:p>
      <w:pPr>
        <w:ind w:left="620" w:right="4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developing, improving, and implementing AI and ML into our platform and offerings, including Navan Cognition, our proprietary AI framework for our platform, and related AI features and functionalities;</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and effectively scale, enhance and adapt our platform;</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introduce new offerings and products and bring them to market in a timely manner;</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and expand internationally;</w:t>
      </w:r>
    </w:p>
    <w:p>
      <w:pPr>
        <w:spacing w:after="0" w:line="167" w:lineRule="exact"/>
        <w:rPr>
          <w:rFonts w:ascii="Times New Roman" w:cs="Times New Roman" w:eastAsia="Times New Roman" w:hAnsi="Times New Roman"/>
          <w:sz w:val="17"/>
          <w:szCs w:val="17"/>
          <w:color w:val="auto"/>
        </w:rPr>
      </w:pPr>
    </w:p>
    <w:p>
      <w:pPr>
        <w:ind w:left="620" w:right="28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concerning relationships with third parties, including our expectations concerning relationships with suppliers and payment partners, and our ability to maintain commission rates and access to travel inventory;</w:t>
      </w:r>
    </w:p>
    <w:p>
      <w:pPr>
        <w:spacing w:after="0" w:line="95"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or investments in complementary companies, products, services, or technologies and our ability to successfully integrate them into our business and operations;</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markets and our ability to compete effectively;</w:t>
      </w:r>
    </w:p>
    <w:p>
      <w:pPr>
        <w:spacing w:after="0" w:line="167" w:lineRule="exact"/>
        <w:rPr>
          <w:rFonts w:ascii="Times New Roman" w:cs="Times New Roman" w:eastAsia="Times New Roman" w:hAnsi="Times New Roman"/>
          <w:sz w:val="17"/>
          <w:szCs w:val="17"/>
          <w:color w:val="auto"/>
        </w:rPr>
      </w:pPr>
    </w:p>
    <w:p>
      <w:pPr>
        <w:ind w:left="620" w:right="200" w:hanging="306"/>
        <w:spacing w:after="0" w:line="29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stay in compliance with laws and regulations that currently apply or may become applicable to our business both in the United States 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80" w:lineRule="exact"/>
        <w:rPr>
          <w:sz w:val="20"/>
          <w:szCs w:val="20"/>
          <w:color w:val="auto"/>
        </w:rPr>
      </w:pPr>
    </w:p>
    <w:p>
      <w:pPr>
        <w:ind w:left="620" w:right="360" w:hanging="306"/>
        <w:spacing w:after="0" w:line="29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high-quality, cost-effective customer support, including through automation and AI-enabled tools, while controlling customer support costs;</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industry trends, projected growth, or trend analysis, including as it relates to AI;</w:t>
      </w:r>
    </w:p>
    <w:p>
      <w:pPr>
        <w:spacing w:after="0" w:line="167" w:lineRule="exact"/>
        <w:rPr>
          <w:rFonts w:ascii="Times New Roman" w:cs="Times New Roman" w:eastAsia="Times New Roman" w:hAnsi="Times New Roman"/>
          <w:sz w:val="17"/>
          <w:szCs w:val="17"/>
          <w:color w:val="auto"/>
        </w:rPr>
      </w:pPr>
    </w:p>
    <w:p>
      <w:pPr>
        <w:ind w:left="620" w:right="40" w:hanging="306"/>
        <w:spacing w:after="0" w:line="27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0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remote and hybrid work models on our business, operations, and the markets in which we operate;</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and grow our business in light of macroeconomic uncertainty;</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expenses associated with being a public company; and</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statements regarding our future operations, financial condition, and prospects and business strategies.</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those described in the section titled “Risk Factors” and elsewhere in this prospectus and the documents incorporated by reference herein.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or incorporated by reference herein may not occur, and actual results could differ materially and adversely from those anticipated or implied in the forward-looking statements.</w:t>
      </w:r>
    </w:p>
    <w:p>
      <w:pPr>
        <w:spacing w:after="0" w:line="12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1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Although we believe such information to be reliable and we are responsible for all of the disclosure contained in this prospectus or incorporated by reference herein,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20" w:top="1440" w:right="359" w:bottom="1440" w:gutter="0" w:footer="0" w:header="0"/>
        </w:sectPr>
      </w:pPr>
    </w:p>
    <w:bookmarkStart w:id="10" w:name="page11"/>
    <w:bookmarkEnd w:id="10"/>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6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20" w:top="1440" w:right="359" w:bottom="1440" w:gutter="0" w:footer="0" w:header="0"/>
        </w:sectPr>
      </w:pPr>
    </w:p>
    <w:bookmarkStart w:id="11" w:name="page12"/>
    <w:bookmarkEnd w:id="11"/>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169"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7"/>
          <w:szCs w:val="17"/>
          <w:color w:val="auto"/>
        </w:rPr>
        <w:t>The following table sets forth information regarding beneficial ownership of our Class A common stock as of July 31, 2025, as adjusted to reflect the Shares that may be sold from time to time pursuant to this prospectus, for all Selling Stockholders, consisting of the individuals shown as having shares listed in the column titled “Number of Shares Being Offered.”</w:t>
      </w:r>
    </w:p>
    <w:p>
      <w:pPr>
        <w:spacing w:after="0" w:line="110" w:lineRule="exact"/>
        <w:rPr>
          <w:sz w:val="20"/>
          <w:szCs w:val="20"/>
          <w:color w:val="auto"/>
        </w:rPr>
      </w:pPr>
    </w:p>
    <w:p>
      <w:pPr>
        <w:ind w:right="20" w:firstLine="4"/>
        <w:spacing w:after="0" w:line="259" w:lineRule="auto"/>
        <w:tabs>
          <w:tab w:leader="none" w:pos="3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offered by the Selling Stockholders hereunder consist of an aggregate of 6,245,983 shares of Class A common stock acquired or to be acquired by certain of our current or former employees (excluding officers and directors) upon the prior exercise of stock options issued under our 2015 Plan or settlement of restricted stock units issued under our 2015 Plan. We have determined beneficial ownership in accordance with the rules of the SEC and the information is not necessarily indicative of beneficial ownership for any other purpose. Unless otherwise indicated below, to our knowledge, the persons named in the table have sole voting and sole investment power with respect to all shares that they beneficially own, subject to community property laws where applicable. In computing the number of shares of our Class A common stock beneficially owned by a person and the percentage ownership of that person, we deemed outstanding shares of our Class A common stock subject to stock options held by that person that are currently exercisable or exercisable or issuable upon settlement of restricted stock units within 60 days of July 31, 2025. We did not deem these shares outstanding, however, for the purpose of computing the percentage ownership of any other person.</w:t>
      </w:r>
    </w:p>
    <w:p>
      <w:pPr>
        <w:spacing w:after="0" w:line="33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have based percentage ownership of our Class A common stock prior to this offering on (i) 30,000,000 shares of Class A common stock to be issued upon the completion of our initial public offering (ii) no exercise of the underwriters’ option to purchase additional shares of Class A common stock from us in our initial public offering, (iii) 200,941,217 shares of Class A common stock outstanding as of July 31, 2025, and (iv) assuming the adjustments in connection with our initial public offering set forth in the section titled “Principal and Selling Stockholders” in our Registration Statement on Form S-1, as amended (File No. 333-290396).</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indicated, the address of each beneficial owner listed below is c/o Navan, Inc., 3045 Park Boulevard Palo Alto, California 94306.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2540" w:type="dxa"/>
            <w:vAlign w:val="bottom"/>
            <w:gridSpan w:val="4"/>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8"/>
              </w:rPr>
              <w:t>Shares Beneficially Owned Prior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020" w:type="dxa"/>
            <w:vAlign w:val="bottom"/>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040" w:type="dxa"/>
            <w:vAlign w:val="bottom"/>
            <w:gridSpan w:val="3"/>
          </w:tcPr>
          <w:p>
            <w:pPr>
              <w:jc w:val="center"/>
              <w:ind w:left="904"/>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 this Offering</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20" w:type="dxa"/>
            <w:vAlign w:val="bottom"/>
            <w:gridSpan w:val="3"/>
          </w:tcPr>
          <w:p>
            <w:pPr>
              <w:jc w:val="right"/>
              <w:ind w:right="709"/>
              <w:spacing w:after="0" w:line="142" w:lineRule="exact"/>
              <w:rPr>
                <w:sz w:val="20"/>
                <w:szCs w:val="20"/>
                <w:color w:val="auto"/>
              </w:rPr>
            </w:pPr>
            <w:r>
              <w:rPr>
                <w:rFonts w:ascii="Times New Roman" w:cs="Times New Roman" w:eastAsia="Times New Roman" w:hAnsi="Times New Roman"/>
                <w:sz w:val="13"/>
                <w:szCs w:val="13"/>
                <w:b w:val="1"/>
                <w:bCs w:val="1"/>
                <w:color w:val="auto"/>
              </w:rPr>
              <w:t>Following this Offering</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52"/>
        </w:trPr>
        <w:tc>
          <w:tcPr>
            <w:tcW w:w="36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tcPr>
          <w:p>
            <w:pPr>
              <w:jc w:val="center"/>
              <w:ind w:right="100"/>
              <w:spacing w:after="0" w:line="45" w:lineRule="exact"/>
              <w:rPr>
                <w:sz w:val="20"/>
                <w:szCs w:val="20"/>
                <w:color w:val="auto"/>
              </w:rPr>
            </w:pPr>
            <w:r>
              <w:rPr>
                <w:rFonts w:ascii="Times New Roman" w:cs="Times New Roman" w:eastAsia="Times New Roman" w:hAnsi="Times New Roman"/>
                <w:sz w:val="5"/>
                <w:szCs w:val="5"/>
                <w:b w:val="1"/>
                <w:bCs w:val="1"/>
                <w:color w:val="auto"/>
              </w:rPr>
              <w:t>Shares Being</w:t>
            </w: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2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jc w:val="right"/>
              <w:ind w:right="121"/>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569"/>
              <w:spacing w:after="0" w:line="188"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13"/>
        </w:trPr>
        <w:tc>
          <w:tcPr>
            <w:tcW w:w="360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Named Selling Stockholders</w:t>
            </w:r>
            <w:r>
              <w:rPr>
                <w:rFonts w:ascii="Times New Roman" w:cs="Times New Roman" w:eastAsia="Times New Roman" w:hAnsi="Times New Roman"/>
                <w:sz w:val="22"/>
                <w:szCs w:val="22"/>
                <w:color w:val="auto"/>
                <w:vertAlign w:val="superscript"/>
              </w:rPr>
              <w:t>(3)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11,839,270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5,831,984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6,007,286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96"/>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Selling Stockholders</w:t>
            </w:r>
            <w:r>
              <w:rPr>
                <w:rFonts w:ascii="Times New Roman" w:cs="Times New Roman" w:eastAsia="Times New Roman" w:hAnsi="Times New Roman"/>
                <w:sz w:val="22"/>
                <w:szCs w:val="22"/>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594,840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413,999</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180,841</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3" w:lineRule="exact"/>
        <w:rPr>
          <w:sz w:val="20"/>
          <w:szCs w:val="20"/>
          <w:color w:val="auto"/>
        </w:rPr>
      </w:pPr>
    </w:p>
    <w:p>
      <w:pPr>
        <w:ind w:left="300" w:hanging="296"/>
        <w:spacing w:after="0"/>
        <w:tabs>
          <w:tab w:leader="none" w:pos="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 w:lineRule="exact"/>
        <w:rPr>
          <w:sz w:val="20"/>
          <w:szCs w:val="20"/>
          <w:color w:val="auto"/>
        </w:rPr>
      </w:pPr>
    </w:p>
    <w:p>
      <w:pPr>
        <w:ind w:left="320" w:right="20" w:hanging="316"/>
        <w:spacing w:after="0" w:line="250" w:lineRule="auto"/>
        <w:tabs>
          <w:tab w:leader="none" w:pos="3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all of the Shares held by each Selling Stockholder and being offered under this prospectus are sold, and that no Selling Stockholder will acquire additional shares of any class of Class A common stock before the completion of this offering. The Selling Stockholders may sell any, all, or none of the Shares, and we do not know when or in what amount the Selling Stockholders may sell their Shares hereunder.</w:t>
      </w:r>
    </w:p>
    <w:p>
      <w:pPr>
        <w:spacing w:after="0" w:line="1" w:lineRule="exact"/>
        <w:rPr>
          <w:rFonts w:ascii="Times New Roman" w:cs="Times New Roman" w:eastAsia="Times New Roman" w:hAnsi="Times New Roman"/>
          <w:sz w:val="14"/>
          <w:szCs w:val="14"/>
          <w:color w:val="auto"/>
        </w:rPr>
      </w:pPr>
    </w:p>
    <w:p>
      <w:pPr>
        <w:ind w:left="300" w:hanging="296"/>
        <w:spacing w:after="0" w:line="236" w:lineRule="auto"/>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calculating this percentage, includes the aggregate number of shares of Class A common stock held by the holders.</w:t>
      </w:r>
    </w:p>
    <w:p>
      <w:pPr>
        <w:ind w:left="320" w:right="40" w:hanging="316"/>
        <w:spacing w:after="0" w:line="248" w:lineRule="auto"/>
        <w:tabs>
          <w:tab w:leader="none" w:pos="3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892 named non-affiliate persons, each of whom holds at least 1,000 Shares: Aaron Dorfler, Aaron Raikes, Abir Margolis, Achraf Sallemi, Adam Bassett, Adam Zielinski, Adi Farchi, Adi Shaull, Adithya Rao, Aharon Shachar, Ahmed Al Obaidi, Ahuva Lebor Goldenberg, Ajay Varughese, Akshat Govil, Akshay Jain, Akshay Shah, Alan Wong, Alessandra Martorana, Alexa Perry, Alexander Bohm, Alexander Choy, Alexander Merino, Alexander Ortega, Alexander Williams, Alexandra Gnoss, Alexandra Thrower, Alexandra Warren, Alexandre Heydari Targhi, Alexandre Meheust, Alexandre Stibolt, Alexandria Ward, Alexis Juredieu, Aline Souvanheuane, Alisa Boguslavsky, Alix Slosberg, Allison Law, Allison Rossi, Allison Williams, Alon Rise Dotan, Alona Licht, Alyssa Thomas, Amal Bushara Abdalla Abdelrahem, Amanda Harrison, Amanda Jang, Amir Hessler, Amirhossein Khosrojerdi, Amit Shalev, Amy Dearking, Amy Jenner-Leuthart, Amy Jorge, Anand R N, Ananth B S, Anat Yizhak, Andre Norman, Andrea Bickel, Andrea Meadows, Andreas Stojanow, Andrei Vodeniktov, Andrew Chase, Andrew Herman, Andrew Nolan, Andrew Russell, Andrew Tan, Andrey Katunin, Angelina Schliephake, Ankit Mishra, Anmol Singh, Ann Adedokun, Anna Cutrone, Anna Hewko, Anna Öberg, Annette Patent, Annie Deng, Anthony Famiglietti, Anthony Frongillo, Anthony Peckham, Anthony Ucciferri, Antonio Pellizzaro, Anup Iyer, Anusha Charipally, Aoife Cremins, Ari Yahalom, Arian Esmaili, Armando T Medina, Arnold Arnan, Arnold Bates, Ashley Canara, Ashley Chan, Ashley Duncan, Ashton Korsani, Ashwani Kashyap, Ashwin Shanker, Atul Kharkwal, Ava Azadegan, Avital Koren, Aviv Elkayam, Axel Cardeilhac, Ayush Chaudhary, Bar Kojocaro, Bastian Martino, Batsheva Israel, Bebhinn Arthurs, Ben Burns, Ben Titley, Benedict Custance, Beniam Fantu, Benjamin Agron, Benjamin Coggins, Benjamin Goworowski, Benjamin Guildea, Benjamin Hamlin, Benjamin Hasson, Benjamin Julia, Benjamin Lin, Benny Jones, Bernadette Castaneda, Bernardo Gonzaga Parmera, Beverly Russing, Bharti Keshwala, Bhuvan Bhatia, Bishoy Gaid, Blake Brimer, Bradford Paul, Brandon Flood, Brandon Foken, Branlin Schaefer, Brendan Spears, Brent Carstens, Brent Estep, Brent Gee, Brian Eckels,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Brian O Rourke, Brian Periquet, Brianna Bybee, Brittany Boisclair, Brittany Davis, Brittany Faber, Brittny Johnson, Brooke Silverman, Bryan Bachrad, Caitlin Feighery, Caline Al Haddad, Callen Farringer, Camille Crandall, Candice Betts, Carina Sofia Brasil da Cunha, Carlo Rappa, Carlos Delatorre, Carlos Ortiz, Caroline Reiser, Caroline St Germain, Carrie Gayler, Casey Knuth, Cassandra Colangelo, Catherine Gehl, Cem Selçuk, Chad Toerien, Chandni Sheth, Chandra Shekar Bairi, Charanya Kannan, Charlotte Elodie Margaret Delafosse, Chase Wells, Chen Elharar, Chen Zhang, Chia-Chi Chang, Chinar Shah, Ching Tien Lee, Chisom Agada, Chloe Freston, Cho Kan Siu, Chris Price, Christian Albrecht, Christian Budnik, Christina Cashman, Christina Herold, Christine Hunt, Christophe Levesque, Christopher Brennan, Christopher Cholette, Christopher Church, Christopher Daniel, Christopher Fuller, Christopher Lim, Christopher Look, Christopher Martens, Christopher Matthew Chadwick, Christopher Truss, Christopher Willmore, Cindy Li, Claire Romano, Collin Mccormick, Collin Meyer, Connor Cassin, Connor Meuret, Connor Peters, Connor Vercruysse, Conor McDonough, Corey Densing, Corey Squires, Corina Ray, Cory Ventura, Courtney Awe, Crystal Gardiner, Crystal Mason, Daisy Caba Graca-Crane, Dajana Sganga, Dan Koren, Dan Shmuel, Dane Molter, Daniel Corwin, Daniel Finkel, Daniel Hallmeyer, Daniel Miller, Daniel Mullen, Daniel Retes Ziller, Daniel Smith, Daniel Yoo, Daniella Schuh, Danielle Brown, Danielle McCabe, Danny Thompson, Darius Ratz, David Colvin, David Fung, David Harding, David Ives, David Matty, David Monast, David Zwerin, Deanna Partida, Debra Pereira, Delia Moran, Deogracias Cadiz, Derek Yan, Derick Felsman, Dev Paul, Devin Ridgway, Dhruv Kumar, Dhurka Rohini Madasamy, Diana Chuang, Dieter Van Houcke, Dimas Rodriguez, Dimple Badiani, Dor Leventer, Duncan Hall, Duncan White, Eden Manor, Edmond Kevin Moreno, Edward Lee, Elad Ganot, Elisa Webster, Elisabeth Heitmiller, Elizabeth Calia, Elizabeth Diggins, Elizabeth Zay, Elliot Ching, Elliot Osgood, Elodie Audouze, Elsa Fanelli, Elton Yang, Enriquez Rosa, Eran Mando, Eran Shargian, Eric Albuja, Eric Smith, Erika White, Erin Dempsey Heuwetter, Erin Turcotte, Eugene Godsoe, Eva Moen Adolfsson, Evan O'Hara, Ewlin Varghese, Eyal Ophir, Fahad Raza, Felix Milman, Fernando De Rito, Fidel Pomajambo Chumbiauca, Fiona Cullinane, Floriane Regior, Fraser Lindsay, Frederic Marz, Frederick Stratford, Gabriel Lopez, Gabrielle Corona, Gabrielle Epstein, Gadi Michaeli, Gadi Naveh, Gaganpreet Liddar, Gail Hannebohm, Gal Laor, Galen Grady, Ganesh Raju Galla, Gary Kao, Gautham Mahesh, Gaylord Davila, Genady Roitman, George Diab, Gilmer Barahona, Giovanni Tiradritto, Gitika Sharda, Goutham Pradhan, Grant Matta, Grant McGrail, Grzegorz Sękowski, Guilherme Santos, Guillaume Drugeot, Guy Bennett, Guy Hanael, Gwendolyn Fanger, Haili Campbell, Hannah Clinton, Hannah Irgang, Hannah Leachman, Hannah Schuss, Hannon Eberts, Hao Wu, Hao Yan, Harley Pilling, Harold Seidler, Harshal Carpenter, Harshal Veera, Heather Neal, Heidi Farman, Hen Faingersh, Henos Haile, Henry Bernstein, Henry Napier, Henry Tell, Hetang Shah, Hilary Maroney, Hillary Hao, Ho Fai Matthew Mok, Hoi Yan Liu, Honey Jain, Hortencia McLeod, Howard Baik, Huabin Liu, Hui Peng, Hursh Rughani, Huy Tran, Ian Fette, Ifat Cohen, Igor Fesenko, Ileana Sullivan, Isaac Chesler, Isabel Gudenus, Isak Kohaly, Ishay Shushu Inbar, Iurii Iurchenko, Ivan Smurygin, Ivelina Manolova, Izhak Hartuv, Jace Nations, Jack Benelli, Jack Delaney, Jack Forbes, Jack Hemming, Jack Rothman, Jack Wilson, Jackson Tuton, Jaclyn Randall, Jacob Kivett, Jacob Koval, Jacob Starnes, Jake Tregunno, Jakob Rohner, James Baker, James Funge, James Harris, James Reeve, Jamie Nolan, Jane Warren, Jared Vuernick, Jasmine Camberos-Rios, Jasmine Roe, Jason Pham, Javier Ramos Felix, Jean Mees, Jeanette Persson, Jeff Kennedy, Jeff Shadoian, Jeffrey House, Jeffrey Thaler, Jennifer Bowe, Jeremy Schneeweiss, Jeroen Van Hecke, Jesse Horsley, Jessica Berger, Jessica Gates, Jessica Roman, Jiachen Ma, Jillian Horka, Joanna Dobson, Joanne Henry, Jodi Trauberman, Joe Tibble, Joel Corpus, John Brockardt, John Curtis, John Haggerty, John Money, John Tsimis, John Young, Jonas Hammes, Jonathan Dainesi, Jonathan Sahoo, Jonathan Sheftel, Jonathan Tignegre, Jordan Chavez, Joris Luongo, Jose Soares, Joseph Katich, Josephine McRae Fried, Joshua Deleon, Joshua Lee, Joshua Reichman, Joshua Stead, Joshua Super, Jovita Sutherland, Juan Camilo Echeverry, Juan Miguel Bantug, Julia E. Hagopian, Julia Jansen-Mannes, Julie Van Aardt, Jun Gao, Jun Wu, Jungwoo Park, Justin Otero, Justine Marmolejo, Jyothi Bysani, Ka Leung, Kairong Chen, Kajal Desai, Kalyan Venkata Chakravarthy Mahanthy, Kara Shanahan, Karen Smith, Karissa Kalodimos, Karissa Schumacker, Karlie Souris, Kashyap Ananthakrishnachar, Katelyn Seagriff, Katharina Brunkhorst, Katherine Casey, Katherine McCarthy, Katherine Pisciotta, Katherine Rowland, Kathleen Andrews, Kathryn Camelio, Katrin Gurvich, Kaylee Nguyen, Keaton Dealy, Kelly Schwalen, Kelly Soderlund Pannu, Keren Shelef-Levi, Kesha Shah, Kevin Dawson, Kevin Fitzpatrick, Kevin Pech, Khushboo Dhami, Kieran Hartwell, Kimberly Smith, Kirk Giddens, Kirsten Zuluaga, Kostiantyn Solomykin, Krishna priya Muddam, Kristian Brown, Kristin Howard, Kristina Pysla, Krithika Ramadoss, Ksenia Kawar, Kumar Pallav, Kunal Mehta, Kunal Paranjpe, Kurt Chessman, Kyle Grubbs, Kyle Keating, Lakshmi Jonasson, Lauren Mallen, Lavanya Puri, Leigh Goldstein, Leighann Ramkumar, Leonid Angarov, Leonid Burdinov, Lewis Chi Kui Lau, Li Yan, Liel keren, Lilian Lo, Lillian Pang, Lilo Klos, Lindsay Chocholak, Lisa Davis, Liwen Gui, Loanna Hung, Logan Tucker, Louie Muro, Louis Scheibli, Luca Gotta, Lucas Bickford, Lucas dos Santos Leal, Ludovica Saroli, Luke Allen, Lynda Nga Nguyen, Lynn Boyle, Lynsey Egan, Mackenzie Maio, Madeleine Kristensen, Madeline Kaplan, Madeline Metzger, Mahammadiya Abdurahimov, Mahesha Bajakudlu, Malay Tripathi, Malik Benzenine, Malone Drewett, Manbir Shergill, Mandar Kapdoskar, Marat Kamalov, Margaret Ryan, Marguerite Mukherjee, Marie Volpe, Marion Patterson, Marisa Meyers, Marissa Levine, Mark Carter, Mark Fernandez, Mark Froggatt, Mark Goldberger, Mark LaFranchi, Mark Reyna, Markell Dvorak, Marley Garfield, Martijn Koens, Marton Chesler, Mary Lord, Maryna Ivanova, Matan Shukry, Matan Zarifi, Matar Cohen, Mati German, Matt Byrd, Matt Gales, Matthew Allen, Matthew Grosso, Matthew Macksamie, Matthew McArdle, Matthew Mogle, Matthew Shephard-Lupo, Mattia Maiorino, Maurice Wu, Max McCreery, Maxime Cellie, Maxime Fofana, Maximilian Nenning, Maxwell Hensser, Maxwell Holm, May de Haas, Maya Sinai, Maya Steingarten, Megan Klasila, Megan O'Toole, Megan Wheaton, Meike Schmitt, Melissa Gaffney, Melissa Kaganovsky, Melissa Lenz, Meni Edri, Meredith Ahlberg, Micael Santos, Micah Richins, Michael Bui, Michael Capone, Michael Goren, Michael Ley, Michael Marcario, Michael Norman, Michael Riegel, Michael Shraibman, Michael Wang, Michelle Mathews, Miguel Angel Estrada Amante, Mika Wainer, Mikhail Badua, Mikhail Romanov, Ming Jia, Misty Li, Moira Fennell, Molly Ravizza, Molly Sonenberg, Moran Brajer, Morgan Bleiler, Morgan Buchanan, Morgan Hines, Muhammad Ali, muhammad awaese, Mukesh Ganesh, Murali Manoher Raju Boja, Mustafa Evlat, Mustafa Yusuf, My Phan, Nadav Rakocz, Nader Afyouni, Nambrata Raikar, Natalie Fang Hamaoui, Natalie Towle, Natanel Ashtam, Nathaniel Ryan, Navid Vazin, Nerisah Baksh, Neta Amiram, Netanel Kvyatek, Nga Sum Tang, Ngoan Tu, Nicholas Kurjanowicz, Nicholas Lintz, Nicholas Oropeza, Nicholle Lei Mataga, Nicola Crossley, Nicolas Ritz, Nicole Lepeirs, Nicole Wheat, Nicole Zeug, Nikita Ivanov, Nikki Chang, Nikolai Hristov, Nikolaï Schaub, Nilabjya Ghosh, Nima Asrar Haghighi, Nimrod Goldrat, Nina Alon, Ninad Godbole, Nir Ben Ezra, Nir Benjano, Nisha Singh, Nithin Prasad H, Nitish Gupta, Nitzan Zorman, Noa Lesin, Nofar Albarak, Norullah Sharifi, Odded Rojtblat, Ofer Ben-David, Oleg Koyfman, Oleg Solop, Oleksandr Dolyna, Oleksandr Krayilo, Olga Koch, Oliver Hassall, Oliver Stahlmann, Olivia Fisher, Olivier Giulieri, Oluwatosin Oke, Omar Elzarad, Or Hadad, Or Yosefian, Oren Weinberger, Orevaoghene Otobo, Oscar Carballo Urbano, Ozge Gundogdu, Pablo Barbieri, Padraig Crowley, Patricia Weng, Patrick Beckhelm, Patrick Kelley, Patrick Stockwell, Paul Giske, Paul Goldsmith, Paul Stunzi, Paula Fernández Quesada, Penelope Maynard, Peter Cohen, Peter Gan, Peyton Riddick, Philip Dance, Phu Minh Phuc Pham, Pier Higgins, Pratik Kapadia, Praveen Reddy Tallapureddy, Qing Li, Rachel Argent, Rachel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920"/>
          </w:cols>
          <w:pgMar w:left="640" w:top="1440" w:right="339" w:bottom="1440" w:gutter="0" w:footer="0" w:header="0"/>
        </w:sectPr>
      </w:pPr>
    </w:p>
    <w:bookmarkStart w:id="13" w:name="page14"/>
    <w:bookmarkEnd w:id="13"/>
    <w:p>
      <w:pPr>
        <w:spacing w:after="0" w:line="76" w:lineRule="exact"/>
        <w:rPr>
          <w:sz w:val="20"/>
          <w:szCs w:val="20"/>
          <w:color w:val="auto"/>
        </w:rPr>
      </w:pPr>
    </w:p>
    <w:p>
      <w:pPr>
        <w:ind w:left="320"/>
        <w:spacing w:after="0" w:line="247" w:lineRule="auto"/>
        <w:rPr>
          <w:sz w:val="20"/>
          <w:szCs w:val="20"/>
          <w:color w:val="auto"/>
        </w:rPr>
      </w:pPr>
      <w:r>
        <w:rPr>
          <w:rFonts w:ascii="Times New Roman" w:cs="Times New Roman" w:eastAsia="Times New Roman" w:hAnsi="Times New Roman"/>
          <w:sz w:val="14"/>
          <w:szCs w:val="14"/>
          <w:color w:val="auto"/>
        </w:rPr>
        <w:t>Henson, Rachel Strong, Rahul Desai, Rahul Kasambe, Rahul Popuri, Rajat Bhatia, Raju Dandigam, Ramil Shaikhiev, Randall Gilbert, Raul Overdijk Girbal, Ravneet Kaur, Rebecca Sweezea, Rebekah Sprole, Renu Punjabi, Reuven Kopel, Rhythm Gupta, Rian Capati, Richard Beattie, Richard Kremer, Richard Letford, Richard Waldron, Rishabh Saklani, Robert Barry, Robert Marsee, Robert Scales, Robert Shen, Roberto Milev, Robyn Gilmartin, Roei Motola, Rohan Gupta, Ron Parshani, Ronen Abraham, Roni Chabra, Roopneet Mohindroo, Ross Goldman, Ruchi Goyal, Ruslan Khaydarov, Ryan Burkart, Ryan McGurk, Ryan Tucker, Ryan Wong, Saar Rozenbaum, Sachin Hiriyanna, Sachin Hooda, Sadiya Mayet, Sai Giri Teja Myneedu, Sajit Chacko, Sam Brenner, Sam Li, Samantha Shankman, Samantha Tsang, Samuel Benge, Samuel Boyd, Samuel Kart, Sandhya chaturvedi, Sandhya Shyam, Sangeeta Murali, Sara Smith, Sarah Ahmad, Sarah Buscar, Sarav Bhatia, Scott Christie, Scott Christy, Sean Callinan, Serhat Kaya, Serhii Tiurenko, Servinaz Oztas, Shai Bernstein, Sharon Alran, Shauntel Lizzarazo, Sheila Darbani, Shelley Olson, Shir Shavit, Shivani Kannan, Shlomy Nackson, Shmuel Mor, Shmulik Belo, Shruthi Gopalli Jayaramnaidu, Simon Kelly, Simone Janssen, Siobhan Smith, Skye Sawhney, Skyla Lambeth, Snir Yael, Sofia Skinner, Sofio Bediashvili, Sophia Dela Fuente, Staci Rezendes, Stanley Gabriel, Stanley Lee, Steffen Pijl, Stella Sharma, Stephan Tingler, Stephanie Bohar, Stephanie Chow, Stephanie Day, Stephanie Weaver, Stephen Smith, Stephen Yeager, Steven Oliver, Steven Pinter, Steven Reedich, Steven Vo, Stuart Gross, Stuart Richardson, Subhapriya Sathiyaseelan, Sujay Narashimamurthy Hegde, Sunmeet Singh, Suresh Antony, Susan Linder, Sybil Dsouza, Sydney Bronner, Syeda Tarannum, Tajinder Minhas, Tal Nagauker, Talia Fishbon, Tamara Hamilton, Tamara Pegg-Nilsson, Tamir Kfir, Tanay Ghirnikar, Tansel Turunz, Tara D'Ambrosio, Tarik Ghbeish, Tasmin Lamb, Ted Coneeny, Tegan Johnson, Tennessee Nunez, Teresa Skaliotis, Terry Kim, Teymur Abdullaev, Thang Nguyen, Thiagarajan Rajagopalan, Thibaud LORIENT, Thien An Pham, Thomas Cain, Thomas Hensley, Thomas Long, Thomas Rockwell, Tian Tian, Timothy Cool, Timothy Jackson, Timothy Lawless, Timothy Milliron, Timothy Russo, Timothy Shanahan, Todd Maki, Tom Pinchuk, Tomas Rigby, Tomu Fujii, Trang Nguyen, Travis Morgan, Travis Palmer, Trent Baggerly, Trevor Fleming, Trevor Luo, Troy Panico, Tulasiram Abbineni, Turner Trcka, Tyler Bergmann, Uday Bhanu Prasad Kanagala, Udit Jain, Upasana Agarwal, Uri Aflalo, Vadim Zakiyan, Valerie Boudet, Valerie Guerra, Vanessa Leo, Varun Varma Saripella, Venkatesh Yerra, Victoria O'Rourke, Vidya Rajagopalan, Vikrant Kumar, Vinesh Vijayananthan, Viswesh Muralidharan, Vivian W. Jiang, Wendy Herby, Wenyi Zhu, William Bickmore, William Lewis, William Mason, Wyatt Henry, Xiao Chen Low, Xiaopeng Wu, Xiaoxiao Wang, Yael Keren, Yael Nahshony, Yair Horovitz, Yam Harel Malichi, Yarden Negby, Yasmin Choudhry, Yavar Fani, Yinchen Lan, Yizhaq Baroz, Yoad Shraybom, Yoann Le Lostec, Yoav Ashkenazi, Yosef Tsuman, Yu Gao, Yu Zhu, Yuqi Liu, Yurii Haiovyi, Yuval Refua, Zach Fernandez, Zachary Faulise, Zachary Fleischman, Zachary McAuley, Zahir Abdelouhab, Zakiya Atom-Ra, Zalak Shah, Zeel Gandhi, Zhaoyuan Zeng, Zhichao Zheng, Zhongzi Ye, and Ziv Horovitz..</w:t>
      </w:r>
    </w:p>
    <w:p>
      <w:pPr>
        <w:spacing w:after="0" w:line="12" w:lineRule="exact"/>
        <w:rPr>
          <w:sz w:val="20"/>
          <w:szCs w:val="20"/>
          <w:color w:val="auto"/>
        </w:rPr>
      </w:pPr>
    </w:p>
    <w:p>
      <w:pPr>
        <w:ind w:left="300" w:hanging="296"/>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1,237 unnamed non-affiliate persons, each of whom holds less than 1,000 Shares. Each of these persons beneficially owns less than 1%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offered by this prospectus may be sold from time to time to purchasers:</w:t>
      </w:r>
    </w:p>
    <w:p>
      <w:pPr>
        <w:spacing w:after="0" w:line="167" w:lineRule="exact"/>
        <w:rPr>
          <w:sz w:val="20"/>
          <w:szCs w:val="20"/>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by the Selling Stockholders, or</w:t>
      </w:r>
    </w:p>
    <w:p>
      <w:pPr>
        <w:spacing w:after="0" w:line="167" w:lineRule="exact"/>
        <w:rPr>
          <w:rFonts w:ascii="Times New Roman" w:cs="Times New Roman" w:eastAsia="Times New Roman" w:hAnsi="Times New Roman"/>
          <w:sz w:val="17"/>
          <w:szCs w:val="17"/>
          <w:color w:val="auto"/>
        </w:rPr>
      </w:pPr>
    </w:p>
    <w:p>
      <w:pPr>
        <w:ind w:left="620" w:right="160" w:hanging="306"/>
        <w:spacing w:after="0" w:line="291"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 broker-dealers or agents, who may receive compensation in the form of discounts, commissions or agent’s commissions from the Selling Stockholders or the purchasers of the Shares.</w:t>
      </w:r>
    </w:p>
    <w:p>
      <w:pPr>
        <w:spacing w:after="0" w:line="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may be sold in one or more transactions at:</w:t>
      </w:r>
    </w:p>
    <w:p>
      <w:pPr>
        <w:spacing w:after="0" w:line="167" w:lineRule="exact"/>
        <w:rPr>
          <w:sz w:val="20"/>
          <w:szCs w:val="20"/>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prices;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market prices at the time of sale;</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prices related to such prevailing market prices;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prices determined at the time of sale; or</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negotiated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sales may be effected in one or more transactions:</w:t>
      </w:r>
    </w:p>
    <w:p>
      <w:pPr>
        <w:spacing w:after="0" w:line="167" w:lineRule="exact"/>
        <w:rPr>
          <w:sz w:val="20"/>
          <w:szCs w:val="20"/>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or quotation service on which the Shares may be listed or quoted at the time of sale, including Nasdaq;</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otherwise than on such exchanges or services or in the over-the-counter market;</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by applicable law; or</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any combination of the foregoing.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transactions may include block transactions or crosses. Crosses are transactions in which the same broker acts as an agent on both sides of the trade.</w:t>
      </w:r>
    </w:p>
    <w:p>
      <w:pPr>
        <w:spacing w:after="0" w:line="167"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7"/>
          <w:szCs w:val="17"/>
          <w:color w:val="auto"/>
        </w:rPr>
        <w:t>At the time a particular offering of the Shares is made, a prospectus supplement, if required, will be distributed, which will set forth the name of the Selling Stockholders, the aggregate amount of Shares being offered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spacing w:after="0" w:line="8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23"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20"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color w:val="auto"/>
        </w:rPr>
        <w:t>The Selling Stockholders may indemnify any broker or underwriter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1440" w:right="379" w:bottom="1440" w:gutter="0" w:footer="0" w:header="0"/>
        </w:sectPr>
      </w:pPr>
    </w:p>
    <w:bookmarkStart w:id="16" w:name="page17"/>
    <w:bookmarkEnd w:id="16"/>
    <w:p>
      <w:pPr>
        <w:spacing w:after="0" w:line="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validity of the Shares being offered by this prospectus will be passed upon for us by Cooley LLP, Palo Alto, California.</w:t>
      </w:r>
    </w:p>
    <w:p>
      <w:pPr>
        <w:spacing w:after="0" w:line="1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financial statements incorporated in this Prospectus by reference to Amendment No. 1 to the Registration Statement on Form S-1 filed with the SEC on October 10, 2025 (No. 333-290396)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780"/>
          </w:cols>
          <w:pgMar w:left="320" w:top="1440" w:right="799" w:bottom="1440" w:gutter="0" w:footer="0" w:header="0"/>
        </w:sectPr>
      </w:pPr>
    </w:p>
    <w:bookmarkStart w:id="17" w:name="page18"/>
    <w:bookmarkEnd w:id="17"/>
    <w:p>
      <w:pPr>
        <w:spacing w:after="0" w:line="78" w:lineRule="exact"/>
        <w:rPr>
          <w:sz w:val="20"/>
          <w:szCs w:val="20"/>
          <w:color w:val="auto"/>
        </w:rPr>
      </w:pPr>
    </w:p>
    <w:p>
      <w:pPr>
        <w:ind w:right="3520" w:firstLine="3564"/>
        <w:spacing w:after="0" w:line="446" w:lineRule="auto"/>
        <w:rPr>
          <w:sz w:val="20"/>
          <w:szCs w:val="20"/>
          <w:color w:val="auto"/>
        </w:rPr>
      </w:pPr>
      <w:r>
        <w:rPr>
          <w:rFonts w:ascii="Times New Roman" w:cs="Times New Roman" w:eastAsia="Times New Roman" w:hAnsi="Times New Roman"/>
          <w:sz w:val="17"/>
          <w:szCs w:val="17"/>
          <w:b w:val="1"/>
          <w:bCs w:val="1"/>
          <w:color w:val="auto"/>
        </w:rPr>
        <w:t xml:space="preserve">INFORMATION INCORPORATED BY REFERENCE </w:t>
      </w:r>
      <w:r>
        <w:rPr>
          <w:rFonts w:ascii="Times New Roman" w:cs="Times New Roman" w:eastAsia="Times New Roman" w:hAnsi="Times New Roman"/>
          <w:sz w:val="17"/>
          <w:szCs w:val="17"/>
          <w:color w:val="auto"/>
        </w:rPr>
        <w:t>The following documents filed with the SEC are hereby incorporated by reference in this prospectus:</w:t>
      </w:r>
    </w:p>
    <w:p>
      <w:pPr>
        <w:spacing w:after="0" w:line="1" w:lineRule="exact"/>
        <w:rPr>
          <w:sz w:val="20"/>
          <w:szCs w:val="20"/>
          <w:color w:val="auto"/>
        </w:rPr>
      </w:pPr>
    </w:p>
    <w:p>
      <w:pPr>
        <w:ind w:left="620" w:right="56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1 to the Registrant’s Registration Statement on Form S-1 filed with the SEC on </w:t>
      </w:r>
      <w:hyperlink r:id="rId17">
        <w:r>
          <w:rPr>
            <w:rFonts w:ascii="Times New Roman" w:cs="Times New Roman" w:eastAsia="Times New Roman" w:hAnsi="Times New Roman"/>
            <w:sz w:val="17"/>
            <w:szCs w:val="17"/>
            <w:u w:val="single" w:color="auto"/>
            <w:color w:val="0000FF"/>
          </w:rPr>
          <w:t>October 10,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333-290396), which contains the Registrant’s audited financial statements as of and for the years ended January 31, 2025 and 2024;</w:t>
      </w:r>
    </w:p>
    <w:p>
      <w:pPr>
        <w:spacing w:after="0" w:line="95" w:lineRule="exact"/>
        <w:rPr>
          <w:rFonts w:ascii="Times New Roman" w:cs="Times New Roman" w:eastAsia="Times New Roman" w:hAnsi="Times New Roman"/>
          <w:sz w:val="17"/>
          <w:szCs w:val="17"/>
          <w:color w:val="auto"/>
        </w:rPr>
      </w:pPr>
    </w:p>
    <w:p>
      <w:pPr>
        <w:ind w:left="620" w:right="540" w:hanging="306"/>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Prospectus pursuant to Rule 424(b) under the Securities Act filed with the SEC on October 30, 2025, relating to the Registration Statement on Form S-1, as amended (File No. 333-290396); and</w:t>
      </w:r>
    </w:p>
    <w:p>
      <w:pPr>
        <w:spacing w:after="0" w:line="95" w:lineRule="exact"/>
        <w:rPr>
          <w:rFonts w:ascii="Times New Roman" w:cs="Times New Roman" w:eastAsia="Times New Roman" w:hAnsi="Times New Roman"/>
          <w:sz w:val="17"/>
          <w:szCs w:val="17"/>
          <w:color w:val="auto"/>
        </w:rPr>
      </w:pPr>
    </w:p>
    <w:p>
      <w:pPr>
        <w:ind w:left="620" w:right="220" w:hanging="306"/>
        <w:spacing w:after="0" w:line="27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which is contained in a Registration Statement on </w:t>
      </w:r>
      <w:hyperlink r:id="rId18">
        <w:r>
          <w:rPr>
            <w:rFonts w:ascii="Times New Roman" w:cs="Times New Roman" w:eastAsia="Times New Roman" w:hAnsi="Times New Roman"/>
            <w:sz w:val="17"/>
            <w:szCs w:val="17"/>
            <w:u w:val="single" w:color="auto"/>
            <w:color w:val="0000FF"/>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on October 28, 2025, as amended (File No. 001-42922) under the Exchange Act, including any amendment or report filed for the purpose of updating such description.</w:t>
      </w:r>
    </w:p>
    <w:p>
      <w:pPr>
        <w:spacing w:after="0" w:line="110" w:lineRule="exact"/>
        <w:rPr>
          <w:rFonts w:ascii="Times New Roman" w:cs="Times New Roman" w:eastAsia="Times New Roman" w:hAnsi="Times New Roman"/>
          <w:sz w:val="17"/>
          <w:szCs w:val="17"/>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w:t>
      </w:r>
    </w:p>
    <w:p>
      <w:pPr>
        <w:spacing w:after="0" w:line="120" w:lineRule="exact"/>
        <w:rPr>
          <w:rFonts w:ascii="Times New Roman" w:cs="Times New Roman" w:eastAsia="Times New Roman" w:hAnsi="Times New Roman"/>
          <w:sz w:val="17"/>
          <w:szCs w:val="17"/>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8" w:lineRule="exact"/>
        <w:rPr>
          <w:rFonts w:ascii="Times New Roman" w:cs="Times New Roman" w:eastAsia="Times New Roman" w:hAnsi="Times New Roman"/>
          <w:sz w:val="17"/>
          <w:szCs w:val="17"/>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00"/>
          </w:cols>
          <w:pgMar w:left="320" w:top="1440" w:right="379" w:bottom="1440" w:gutter="0" w:footer="0" w:header="0"/>
        </w:sectPr>
      </w:pPr>
    </w:p>
    <w:bookmarkStart w:id="18" w:name="page19"/>
    <w:bookmarkEnd w:id="18"/>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We will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www.investors.navan.com. These filings will be available as soon as reasonably practicable after we electronically file such material with, or furnish it to, the SEC. Information contained on our website is not part of this prospectus.</w:t>
      </w:r>
    </w:p>
    <w:p>
      <w:pPr>
        <w:spacing w:after="0" w:line="1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Navan, Inc., Attention: Secretary, 3045 Park Boulevard Palo Alto, California 94306, (888) 505-8747.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120"/>
          </w:cols>
          <w:pgMar w:left="320" w:top="1440" w:right="459" w:bottom="1440" w:gutter="0" w:footer="0" w:header="0"/>
        </w:sectPr>
      </w:pPr>
    </w:p>
    <w:bookmarkStart w:id="19" w:name="page20"/>
    <w:bookmarkEnd w:id="19"/>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6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information called for by Part I of Form S-8 is omitted from this Registration Statement in accordance with Rule 428 under the Securities Act and the “Note” to Part I of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I-1</w:t>
      </w:r>
    </w:p>
    <w:p>
      <w:pPr>
        <w:sectPr>
          <w:pgSz w:w="11900" w:h="16838" w:orient="portrait"/>
          <w:cols w:equalWidth="0" w:num="1">
            <w:col w:w="11180"/>
          </w:cols>
          <w:pgMar w:left="320" w:top="1440" w:right="399" w:bottom="1440" w:gutter="0" w:footer="0" w:header="0"/>
        </w:sectPr>
      </w:pPr>
    </w:p>
    <w:bookmarkStart w:id="20" w:name="page21"/>
    <w:bookmarkEnd w:id="20"/>
    <w:p>
      <w:pPr>
        <w:spacing w:after="0" w:line="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INFORMATION REQUIRED IN REGISTRATION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Certain Documents by Reference.</w:t>
      </w:r>
    </w:p>
    <w:p>
      <w:pPr>
        <w:spacing w:after="0" w:line="16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The following documents filed by the Registrant with the Securities and Exchange Commission (the “SEC”) are incorporated by reference into this Registration Statement:</w:t>
      </w:r>
    </w:p>
    <w:p>
      <w:pPr>
        <w:spacing w:after="0" w:line="96" w:lineRule="exact"/>
        <w:rPr>
          <w:sz w:val="20"/>
          <w:szCs w:val="20"/>
          <w:color w:val="auto"/>
        </w:rPr>
      </w:pPr>
    </w:p>
    <w:p>
      <w:pPr>
        <w:ind w:left="620" w:right="600" w:hanging="306"/>
        <w:spacing w:after="0" w:line="291" w:lineRule="auto"/>
        <w:tabs>
          <w:tab w:leader="none" w:pos="6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1 to the Registrant’s Registration Statement on Form S-1 filed with the SEC on </w:t>
      </w:r>
      <w:hyperlink r:id="rId17">
        <w:r>
          <w:rPr>
            <w:rFonts w:ascii="Times New Roman" w:cs="Times New Roman" w:eastAsia="Times New Roman" w:hAnsi="Times New Roman"/>
            <w:sz w:val="17"/>
            <w:szCs w:val="17"/>
            <w:u w:val="single" w:color="auto"/>
            <w:color w:val="0000FF"/>
          </w:rPr>
          <w:t>October 10,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333-290396), which contains the Registrant’s audited financial statements as of and for the years ended January 31, 2025 and 2024.</w:t>
      </w:r>
    </w:p>
    <w:p>
      <w:pPr>
        <w:spacing w:after="0" w:line="95" w:lineRule="exact"/>
        <w:rPr>
          <w:rFonts w:ascii="Times New Roman" w:cs="Times New Roman" w:eastAsia="Times New Roman" w:hAnsi="Times New Roman"/>
          <w:sz w:val="17"/>
          <w:szCs w:val="17"/>
          <w:color w:val="auto"/>
        </w:rPr>
      </w:pPr>
    </w:p>
    <w:p>
      <w:pPr>
        <w:ind w:left="620" w:right="740" w:hanging="306"/>
        <w:spacing w:after="0" w:line="291"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Prospectus filed with the SEC on October 30, 2025 pursuant to Rule 424(b) under the Securities Act of 1933, as amended (the “Securities Act”), relating to the Registration Statement on Form S-1, as amended (File No. 333-290396).</w:t>
      </w:r>
    </w:p>
    <w:p>
      <w:pPr>
        <w:spacing w:after="0" w:line="95" w:lineRule="exact"/>
        <w:rPr>
          <w:rFonts w:ascii="Times New Roman" w:cs="Times New Roman" w:eastAsia="Times New Roman" w:hAnsi="Times New Roman"/>
          <w:sz w:val="17"/>
          <w:szCs w:val="17"/>
          <w:color w:val="auto"/>
        </w:rPr>
      </w:pPr>
    </w:p>
    <w:p>
      <w:pPr>
        <w:jc w:val="both"/>
        <w:ind w:left="620" w:right="380" w:hanging="306"/>
        <w:spacing w:after="0" w:line="273" w:lineRule="auto"/>
        <w:tabs>
          <w:tab w:leader="none" w:pos="6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which is contained in the Registrant’s Registration Statement on </w:t>
      </w:r>
      <w:hyperlink r:id="rId18">
        <w:r>
          <w:rPr>
            <w:rFonts w:ascii="Times New Roman" w:cs="Times New Roman" w:eastAsia="Times New Roman" w:hAnsi="Times New Roman"/>
            <w:sz w:val="17"/>
            <w:szCs w:val="17"/>
            <w:u w:val="single" w:color="auto"/>
            <w:color w:val="0000FF"/>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Commission on October 28, 2025, as amended (File No. 001-42922) under the Securities Exchange Act of 1934, as amended (the “Exchange Act”), including any amendment or report filed for the purpose of updating such description.</w:t>
      </w:r>
    </w:p>
    <w:p>
      <w:pPr>
        <w:spacing w:after="0" w:line="109" w:lineRule="exact"/>
        <w:rPr>
          <w:rFonts w:ascii="Times New Roman" w:cs="Times New Roman" w:eastAsia="Times New Roman" w:hAnsi="Times New Roman"/>
          <w:sz w:val="17"/>
          <w:szCs w:val="17"/>
          <w:color w:val="auto"/>
        </w:rPr>
      </w:pPr>
    </w:p>
    <w:p>
      <w:pPr>
        <w:ind w:left="620" w:hanging="306"/>
        <w:spacing w:after="0" w:line="259" w:lineRule="auto"/>
        <w:tabs>
          <w:tab w:leader="none" w:pos="61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reports and documents subsequently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6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6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69" w:lineRule="exact"/>
        <w:rPr>
          <w:rFonts w:ascii="Times New Roman" w:cs="Times New Roman" w:eastAsia="Times New Roman" w:hAnsi="Times New Roman"/>
          <w:sz w:val="17"/>
          <w:szCs w:val="17"/>
          <w:color w:val="auto"/>
        </w:rPr>
      </w:pPr>
    </w:p>
    <w:p>
      <w:pPr>
        <w:ind w:right="400"/>
        <w:spacing w:after="0" w:line="273"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10" w:lineRule="exact"/>
        <w:rPr>
          <w:rFonts w:ascii="Times New Roman" w:cs="Times New Roman" w:eastAsia="Times New Roman" w:hAnsi="Times New Roman"/>
          <w:sz w:val="17"/>
          <w:szCs w:val="17"/>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As permitted by the DGCL, the Registrant’s amended and restated certificate of incorporation to be effective upon the completion of the Registrant’s initial public offering contains provisions that eliminate the personal liability of its directors and officers for monetary damages for any breach of fiduciary duties as a director or officer, except liability for the following:</w:t>
      </w:r>
    </w:p>
    <w:p>
      <w:pPr>
        <w:spacing w:after="0" w:line="11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or officers’ duty of loyalty to the Registrant or its stockholders;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or omissions not in good faith or that involve intentional misconduct or a knowing violation of law;</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8"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80" w:lineRule="exact"/>
        <w:rPr>
          <w:sz w:val="20"/>
          <w:szCs w:val="20"/>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Section 174 of the DGCL (regarding unlawful dividends and stock purchases);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or officer derived an improper personal benefit; and</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officers, any action by or in the right of the corporation.</w:t>
      </w:r>
    </w:p>
    <w:p>
      <w:pPr>
        <w:spacing w:after="0" w:line="167"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As permitted by the DGCL, the Registrant’s amended and restated bylaws to be effective upon the completion of the Registrant’s initial public offering, provide that:</w:t>
      </w:r>
    </w:p>
    <w:p>
      <w:pPr>
        <w:spacing w:after="0" w:line="96" w:lineRule="exact"/>
        <w:rPr>
          <w:sz w:val="20"/>
          <w:szCs w:val="20"/>
          <w:color w:val="auto"/>
        </w:rPr>
      </w:pPr>
    </w:p>
    <w:p>
      <w:pPr>
        <w:ind w:left="620" w:hanging="306"/>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is required to indemnify its directors and executive officers to the fullest extent permitted by the DGCL, subject to very limited exceptions;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may indemnify its other employees and agents as set forth in the DGCL;</w:t>
      </w:r>
    </w:p>
    <w:p>
      <w:pPr>
        <w:spacing w:after="0" w:line="167" w:lineRule="exact"/>
        <w:rPr>
          <w:rFonts w:ascii="Times New Roman" w:cs="Times New Roman" w:eastAsia="Times New Roman" w:hAnsi="Times New Roman"/>
          <w:sz w:val="17"/>
          <w:szCs w:val="17"/>
          <w:color w:val="auto"/>
        </w:rPr>
      </w:pPr>
    </w:p>
    <w:p>
      <w:pPr>
        <w:ind w:left="620" w:right="380" w:hanging="306"/>
        <w:spacing w:after="0" w:line="291"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conferred in the amended and restated bylaws are not exclusive.</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its then-current directors and executive officers to provide these directors and executive officers additional contractual assurances regarding the scope of the indemnification set forth in its amended and restated certificate of incorporation and amended and restated bylaws, each to be effective upon the completion of the Registrant’s initial public offering, and to provide additional procedural protections. There is no pending litigation or proceeding involving a director or executive officer of the Registrant for which indemnification is sought. The indemnification provisions in its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currently carries liability insurance for its directors and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the Registrant’s directors are also indemnified by their employers with regard to service on the Registrant’s board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issuance of the Shares that constitute “restricted securities” under Rule 144 promulgated under the Securities Act being offered by the Form S-8 resale prospectus were deemed to be exempt from registration under the Securities Act in reliance upon Section 4(a)(2) of the Securities Act (or Regulation D or Regulation S promulgated thereunder), or Rule 701 promulgated under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1220"/>
          </w:cols>
          <w:pgMar w:left="320" w:top="1440" w:right="359" w:bottom="1440" w:gutter="0" w:footer="0" w:header="0"/>
        </w:sectPr>
      </w:pPr>
    </w:p>
    <w:bookmarkStart w:id="22" w:name="page23"/>
    <w:bookmarkEnd w:id="22"/>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7"/>
        </w:trPr>
        <w:tc>
          <w:tcPr>
            <w:tcW w:w="88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2"/>
                <w:szCs w:val="12"/>
                <w:b w:val="1"/>
                <w:bCs w:val="1"/>
                <w:color w:val="auto"/>
              </w:rPr>
              <w:t>Exhibit</w:t>
            </w: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Schedule</w:t>
            </w:r>
          </w:p>
        </w:tc>
        <w:tc>
          <w:tcPr>
            <w:tcW w:w="800" w:type="dxa"/>
            <w:vAlign w:val="bottom"/>
          </w:tcPr>
          <w:p>
            <w:pPr>
              <w:jc w:val="center"/>
              <w:ind w:left="280"/>
              <w:spacing w:after="0" w:line="117" w:lineRule="exact"/>
              <w:rPr>
                <w:sz w:val="20"/>
                <w:szCs w:val="20"/>
                <w:color w:val="auto"/>
              </w:rPr>
            </w:pPr>
            <w:r>
              <w:rPr>
                <w:rFonts w:ascii="Times New Roman" w:cs="Times New Roman" w:eastAsia="Times New Roman" w:hAnsi="Times New Roman"/>
                <w:sz w:val="12"/>
                <w:szCs w:val="12"/>
                <w:b w:val="1"/>
                <w:bCs w:val="1"/>
                <w:color w:val="auto"/>
                <w:w w:val="92"/>
              </w:rPr>
              <w:t>File</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jc w:val="center"/>
              <w:ind w:right="4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Filing</w:t>
            </w:r>
          </w:p>
        </w:tc>
        <w:tc>
          <w:tcPr>
            <w:tcW w:w="12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Filed</w:t>
            </w:r>
          </w:p>
        </w:tc>
      </w:tr>
      <w:tr>
        <w:trPr>
          <w:trHeight w:val="174"/>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Pr>
          <w:p>
            <w:pPr>
              <w:spacing w:after="0"/>
              <w:rPr>
                <w:sz w:val="15"/>
                <w:szCs w:val="15"/>
                <w:color w:val="auto"/>
              </w:rPr>
            </w:pPr>
          </w:p>
        </w:tc>
        <w:tc>
          <w:tcPr>
            <w:tcW w:w="446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Form</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Herewith</w:t>
            </w:r>
          </w:p>
        </w:tc>
      </w:tr>
    </w:tbl>
    <w:p>
      <w:pPr>
        <w:spacing w:after="0" w:line="23"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8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89"/>
              </w:rPr>
              <w:t>4.1</w:t>
            </w:r>
          </w:p>
        </w:tc>
        <w:tc>
          <w:tcPr>
            <w:tcW w:w="4320" w:type="dxa"/>
            <w:vAlign w:val="bottom"/>
            <w:gridSpan w:val="5"/>
          </w:tcPr>
          <w:p>
            <w:pPr>
              <w:spacing w:after="0"/>
              <w:rPr>
                <w:rFonts w:ascii="Times New Roman" w:cs="Times New Roman" w:eastAsia="Times New Roman" w:hAnsi="Times New Roman"/>
                <w:sz w:val="16"/>
                <w:szCs w:val="16"/>
                <w:color w:val="0000FF"/>
                <w:w w:val="97"/>
              </w:rPr>
            </w:pPr>
            <w:hyperlink r:id="rId19">
              <w:r>
                <w:rPr>
                  <w:rFonts w:ascii="Times New Roman" w:cs="Times New Roman" w:eastAsia="Times New Roman" w:hAnsi="Times New Roman"/>
                  <w:sz w:val="16"/>
                  <w:szCs w:val="16"/>
                  <w:color w:val="0000FF"/>
                  <w:w w:val="97"/>
                </w:rPr>
                <w:t>Amended and Restated Certificate of Incorporation of the Registrant,</w:t>
              </w:r>
            </w:hyperlink>
          </w:p>
        </w:tc>
      </w:tr>
      <w:tr>
        <w:trPr>
          <w:trHeight w:val="135"/>
        </w:trPr>
        <w:tc>
          <w:tcPr>
            <w:tcW w:w="880" w:type="dxa"/>
            <w:vAlign w:val="bottom"/>
          </w:tcPr>
          <w:p>
            <w:pPr>
              <w:spacing w:after="0"/>
              <w:rPr>
                <w:sz w:val="11"/>
                <w:szCs w:val="11"/>
                <w:color w:val="auto"/>
              </w:rPr>
            </w:pPr>
          </w:p>
        </w:tc>
        <w:tc>
          <w:tcPr>
            <w:tcW w:w="1360" w:type="dxa"/>
            <w:vAlign w:val="bottom"/>
            <w:tcBorders>
              <w:top w:val="single" w:sz="8" w:color="0000FF"/>
              <w:bottom w:val="single" w:sz="8" w:color="0000FF"/>
            </w:tcBorders>
          </w:tcPr>
          <w:p>
            <w:pPr>
              <w:spacing w:after="0" w:line="135" w:lineRule="exact"/>
              <w:rPr>
                <w:rFonts w:ascii="Times New Roman" w:cs="Times New Roman" w:eastAsia="Times New Roman" w:hAnsi="Times New Roman"/>
                <w:sz w:val="14"/>
                <w:szCs w:val="14"/>
                <w:color w:val="0000FF"/>
              </w:rPr>
            </w:pPr>
            <w:hyperlink r:id="rId19">
              <w:r>
                <w:rPr>
                  <w:rFonts w:ascii="Times New Roman" w:cs="Times New Roman" w:eastAsia="Times New Roman" w:hAnsi="Times New Roman"/>
                  <w:sz w:val="14"/>
                  <w:szCs w:val="14"/>
                  <w:color w:val="0000FF"/>
                </w:rPr>
                <w:t>as currently in effect.</w:t>
              </w:r>
            </w:hyperlink>
          </w:p>
        </w:tc>
        <w:tc>
          <w:tcPr>
            <w:tcW w:w="294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39"/>
        </w:trPr>
        <w:tc>
          <w:tcPr>
            <w:tcW w:w="8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89"/>
              </w:rPr>
              <w:t>4.2</w:t>
            </w:r>
          </w:p>
        </w:tc>
        <w:tc>
          <w:tcPr>
            <w:tcW w:w="4320" w:type="dxa"/>
            <w:vAlign w:val="bottom"/>
            <w:gridSpan w:val="5"/>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Form of Amended and Restated Certificate of Incorporation of the</w:t>
              </w:r>
            </w:hyperlink>
          </w:p>
        </w:tc>
      </w:tr>
      <w:tr>
        <w:trPr>
          <w:trHeight w:val="135"/>
        </w:trPr>
        <w:tc>
          <w:tcPr>
            <w:tcW w:w="880" w:type="dxa"/>
            <w:vAlign w:val="bottom"/>
          </w:tcPr>
          <w:p>
            <w:pPr>
              <w:spacing w:after="0"/>
              <w:rPr>
                <w:sz w:val="11"/>
                <w:szCs w:val="11"/>
                <w:color w:val="auto"/>
              </w:rPr>
            </w:pPr>
          </w:p>
        </w:tc>
        <w:tc>
          <w:tcPr>
            <w:tcW w:w="4140" w:type="dxa"/>
            <w:vAlign w:val="bottom"/>
            <w:tcBorders>
              <w:top w:val="single" w:sz="8" w:color="0000FF"/>
            </w:tcBorders>
            <w:gridSpan w:val="3"/>
          </w:tcPr>
          <w:p>
            <w:pPr>
              <w:spacing w:after="0" w:line="135" w:lineRule="exact"/>
              <w:rPr>
                <w:rFonts w:ascii="Times New Roman" w:cs="Times New Roman" w:eastAsia="Times New Roman" w:hAnsi="Times New Roman"/>
                <w:sz w:val="14"/>
                <w:szCs w:val="14"/>
                <w:color w:val="0000FF"/>
              </w:rPr>
            </w:pPr>
            <w:hyperlink r:id="rId20">
              <w:r>
                <w:rPr>
                  <w:rFonts w:ascii="Times New Roman" w:cs="Times New Roman" w:eastAsia="Times New Roman" w:hAnsi="Times New Roman"/>
                  <w:sz w:val="14"/>
                  <w:szCs w:val="14"/>
                  <w:color w:val="0000FF"/>
                </w:rPr>
                <w:t>Registrant, to be in effect upon the completion of the Registrant’s</w:t>
              </w:r>
            </w:hyperlink>
          </w:p>
        </w:tc>
        <w:tc>
          <w:tcPr>
            <w:tcW w:w="180" w:type="dxa"/>
            <w:vAlign w:val="bottom"/>
            <w:gridSpan w:val="2"/>
          </w:tcPr>
          <w:p>
            <w:pPr>
              <w:spacing w:after="0"/>
              <w:rPr>
                <w:sz w:val="11"/>
                <w:szCs w:val="11"/>
                <w:color w:val="auto"/>
              </w:rPr>
            </w:pPr>
          </w:p>
        </w:tc>
      </w:tr>
      <w:tr>
        <w:trPr>
          <w:trHeight w:val="135"/>
        </w:trPr>
        <w:tc>
          <w:tcPr>
            <w:tcW w:w="880" w:type="dxa"/>
            <w:vAlign w:val="bottom"/>
          </w:tcPr>
          <w:p>
            <w:pPr>
              <w:spacing w:after="0"/>
              <w:rPr>
                <w:sz w:val="11"/>
                <w:szCs w:val="11"/>
                <w:color w:val="auto"/>
              </w:rPr>
            </w:pPr>
          </w:p>
        </w:tc>
        <w:tc>
          <w:tcPr>
            <w:tcW w:w="4060" w:type="dxa"/>
            <w:vAlign w:val="bottom"/>
            <w:tcBorders>
              <w:top w:val="single" w:sz="8" w:color="0000FF"/>
            </w:tcBorders>
            <w:gridSpan w:val="2"/>
          </w:tcPr>
          <w:p>
            <w:pPr>
              <w:spacing w:after="0" w:line="135" w:lineRule="exact"/>
              <w:rPr>
                <w:rFonts w:ascii="Times New Roman" w:cs="Times New Roman" w:eastAsia="Times New Roman" w:hAnsi="Times New Roman"/>
                <w:sz w:val="14"/>
                <w:szCs w:val="14"/>
                <w:color w:val="0000FF"/>
              </w:rPr>
            </w:pPr>
            <w:hyperlink r:id="rId20">
              <w:r>
                <w:rPr>
                  <w:rFonts w:ascii="Times New Roman" w:cs="Times New Roman" w:eastAsia="Times New Roman" w:hAnsi="Times New Roman"/>
                  <w:sz w:val="14"/>
                  <w:szCs w:val="14"/>
                  <w:color w:val="0000FF"/>
                </w:rPr>
                <w:t>initial public offering.</w:t>
              </w:r>
            </w:hyperlink>
          </w:p>
        </w:tc>
        <w:tc>
          <w:tcPr>
            <w:tcW w:w="260" w:type="dxa"/>
            <w:vAlign w:val="bottom"/>
            <w:gridSpan w:val="3"/>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6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333-290396</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3.1</w:t>
            </w:r>
          </w:p>
        </w:tc>
        <w:tc>
          <w:tcPr>
            <w:tcW w:w="15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September 19, 2025</w:t>
            </w:r>
          </w:p>
        </w:tc>
      </w:tr>
      <w:tr>
        <w:trPr>
          <w:trHeight w:val="492"/>
        </w:trPr>
        <w:tc>
          <w:tcPr>
            <w:tcW w:w="6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333-290396</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3.2</w:t>
            </w:r>
          </w:p>
        </w:tc>
        <w:tc>
          <w:tcPr>
            <w:tcW w:w="15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October 10, 2025</w:t>
            </w:r>
          </w:p>
        </w:tc>
      </w:tr>
    </w:tbl>
    <w:p>
      <w:pPr>
        <w:spacing w:after="0" w:line="197" w:lineRule="exact"/>
        <w:rPr>
          <w:sz w:val="20"/>
          <w:szCs w:val="20"/>
          <w:color w:val="auto"/>
        </w:rPr>
      </w:pPr>
    </w:p>
    <w:p>
      <w:pPr>
        <w:sectPr>
          <w:pgSz w:w="11900" w:h="16838" w:orient="portrait"/>
          <w:cols w:equalWidth="0" w:num="2">
            <w:col w:w="5200" w:space="460"/>
            <w:col w:w="55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44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6"/>
              </w:rPr>
            </w:pPr>
            <w:hyperlink r:id="rId21">
              <w:r>
                <w:rPr>
                  <w:rFonts w:ascii="Times New Roman" w:cs="Times New Roman" w:eastAsia="Times New Roman" w:hAnsi="Times New Roman"/>
                  <w:sz w:val="16"/>
                  <w:szCs w:val="16"/>
                  <w:color w:val="0000FF"/>
                  <w:w w:val="96"/>
                </w:rPr>
                <w:t>Amended and Restated Bylaws of the Registrant, as currently in effect.</w:t>
              </w:r>
            </w:hyperlink>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41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6"/>
              </w:rPr>
            </w:pPr>
            <w:hyperlink r:id="rId22">
              <w:r>
                <w:rPr>
                  <w:rFonts w:ascii="Times New Roman" w:cs="Times New Roman" w:eastAsia="Times New Roman" w:hAnsi="Times New Roman"/>
                  <w:sz w:val="16"/>
                  <w:szCs w:val="16"/>
                  <w:color w:val="0000FF"/>
                  <w:w w:val="96"/>
                </w:rPr>
                <w:t>Form of Amended and Restated Bylaws of the Registrant, to be in</w:t>
              </w:r>
            </w:hyperlink>
          </w:p>
        </w:tc>
        <w:tc>
          <w:tcPr>
            <w:tcW w:w="300" w:type="dxa"/>
            <w:vAlign w:val="bottom"/>
            <w:gridSpan w:val="4"/>
          </w:tcPr>
          <w:p>
            <w:pPr>
              <w:spacing w:after="0"/>
              <w:rPr>
                <w:sz w:val="20"/>
                <w:szCs w:val="20"/>
                <w:color w:val="auto"/>
              </w:rPr>
            </w:pPr>
          </w:p>
        </w:tc>
      </w:tr>
      <w:tr>
        <w:trPr>
          <w:trHeight w:val="135"/>
        </w:trPr>
        <w:tc>
          <w:tcPr>
            <w:tcW w:w="880" w:type="dxa"/>
            <w:vAlign w:val="bottom"/>
          </w:tcPr>
          <w:p>
            <w:pPr>
              <w:spacing w:after="0"/>
              <w:rPr>
                <w:sz w:val="11"/>
                <w:szCs w:val="11"/>
                <w:color w:val="auto"/>
              </w:rPr>
            </w:pPr>
          </w:p>
        </w:tc>
        <w:tc>
          <w:tcPr>
            <w:tcW w:w="4260" w:type="dxa"/>
            <w:vAlign w:val="bottom"/>
            <w:tcBorders>
              <w:bottom w:val="single" w:sz="8" w:color="0000FF"/>
            </w:tcBorders>
            <w:gridSpan w:val="7"/>
          </w:tcPr>
          <w:p>
            <w:pPr>
              <w:spacing w:after="0" w:line="135" w:lineRule="exact"/>
              <w:rPr>
                <w:rFonts w:ascii="Times New Roman" w:cs="Times New Roman" w:eastAsia="Times New Roman" w:hAnsi="Times New Roman"/>
                <w:sz w:val="14"/>
                <w:szCs w:val="14"/>
                <w:color w:val="0000FF"/>
              </w:rPr>
            </w:pPr>
            <w:hyperlink r:id="rId22">
              <w:r>
                <w:rPr>
                  <w:rFonts w:ascii="Times New Roman" w:cs="Times New Roman" w:eastAsia="Times New Roman" w:hAnsi="Times New Roman"/>
                  <w:sz w:val="14"/>
                  <w:szCs w:val="14"/>
                  <w:color w:val="0000FF"/>
                </w:rPr>
                <w:t>effect upon the completion of the Registrant’s initial public offering.</w:t>
              </w:r>
            </w:hyperlink>
          </w:p>
        </w:tc>
        <w:tc>
          <w:tcPr>
            <w:tcW w:w="160" w:type="dxa"/>
            <w:vAlign w:val="bottom"/>
            <w:gridSpan w:val="3"/>
          </w:tcPr>
          <w:p>
            <w:pPr>
              <w:spacing w:after="0"/>
              <w:rPr>
                <w:sz w:val="11"/>
                <w:szCs w:val="1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38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r:id="rId23">
              <w:r>
                <w:rPr>
                  <w:rFonts w:ascii="Times New Roman" w:cs="Times New Roman" w:eastAsia="Times New Roman" w:hAnsi="Times New Roman"/>
                  <w:sz w:val="16"/>
                  <w:szCs w:val="16"/>
                  <w:color w:val="0000FF"/>
                  <w:w w:val="96"/>
                </w:rPr>
                <w:t>Form of Class A Common Stock Certificate of the Registrant.</w:t>
              </w:r>
            </w:hyperlink>
          </w:p>
        </w:tc>
        <w:tc>
          <w:tcPr>
            <w:tcW w:w="560" w:type="dxa"/>
            <w:vAlign w:val="bottom"/>
            <w:gridSpan w:val="6"/>
          </w:tcPr>
          <w:p>
            <w:pPr>
              <w:spacing w:after="0"/>
              <w:rPr>
                <w:sz w:val="20"/>
                <w:szCs w:val="20"/>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44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Opinion of Cooley LLP.</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4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44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w:t>
            </w:r>
          </w:p>
        </w:tc>
      </w:tr>
      <w:tr>
        <w:trPr>
          <w:trHeight w:val="135"/>
        </w:trPr>
        <w:tc>
          <w:tcPr>
            <w:tcW w:w="880" w:type="dxa"/>
            <w:vAlign w:val="bottom"/>
          </w:tcPr>
          <w:p>
            <w:pPr>
              <w:spacing w:after="0"/>
              <w:rPr>
                <w:sz w:val="11"/>
                <w:szCs w:val="11"/>
                <w:color w:val="auto"/>
              </w:rPr>
            </w:pPr>
          </w:p>
        </w:tc>
        <w:tc>
          <w:tcPr>
            <w:tcW w:w="1500" w:type="dxa"/>
            <w:vAlign w:val="bottom"/>
            <w:tcBorders>
              <w:top w:val="single" w:sz="8" w:color="0000FF"/>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4"/>
                <w:szCs w:val="14"/>
                <w:color w:val="0000FF"/>
              </w:rPr>
              <w:t>public accounting firm.</w:t>
            </w:r>
          </w:p>
        </w:tc>
        <w:tc>
          <w:tcPr>
            <w:tcW w:w="2540" w:type="dxa"/>
            <w:vAlign w:val="bottom"/>
            <w:tcBorders>
              <w:top w:val="single" w:sz="8" w:color="0000FF"/>
            </w:tcBorders>
            <w:gridSpan w:val="3"/>
          </w:tcPr>
          <w:p>
            <w:pPr>
              <w:spacing w:after="0"/>
              <w:rPr>
                <w:sz w:val="11"/>
                <w:szCs w:val="11"/>
                <w:color w:val="auto"/>
              </w:rPr>
            </w:pPr>
          </w:p>
        </w:tc>
        <w:tc>
          <w:tcPr>
            <w:tcW w:w="2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44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Power of Attorney (included on the signature page of this Form S-8).</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420" w:type="dxa"/>
            <w:vAlign w:val="bottom"/>
            <w:gridSpan w:val="10"/>
          </w:tcPr>
          <w:p>
            <w:pPr>
              <w:spacing w:after="0"/>
              <w:rPr>
                <w:rFonts w:ascii="Times New Roman" w:cs="Times New Roman" w:eastAsia="Times New Roman" w:hAnsi="Times New Roman"/>
                <w:sz w:val="16"/>
                <w:szCs w:val="16"/>
                <w:color w:val="0000FF"/>
                <w:w w:val="97"/>
              </w:rPr>
            </w:pPr>
            <w:hyperlink r:id="rId24">
              <w:r>
                <w:rPr>
                  <w:rFonts w:ascii="Times New Roman" w:cs="Times New Roman" w:eastAsia="Times New Roman" w:hAnsi="Times New Roman"/>
                  <w:sz w:val="16"/>
                  <w:szCs w:val="16"/>
                  <w:color w:val="0000FF"/>
                  <w:w w:val="97"/>
                </w:rPr>
                <w:t>Navan, Inc. 2015 Equity Incentive Plan, as amended, and related form</w:t>
              </w:r>
            </w:hyperlink>
          </w:p>
        </w:tc>
      </w:tr>
      <w:tr>
        <w:trPr>
          <w:trHeight w:val="135"/>
        </w:trPr>
        <w:tc>
          <w:tcPr>
            <w:tcW w:w="880" w:type="dxa"/>
            <w:vAlign w:val="bottom"/>
          </w:tcPr>
          <w:p>
            <w:pPr>
              <w:spacing w:after="0"/>
              <w:rPr>
                <w:sz w:val="11"/>
                <w:szCs w:val="11"/>
                <w:color w:val="auto"/>
              </w:rPr>
            </w:pPr>
          </w:p>
        </w:tc>
        <w:tc>
          <w:tcPr>
            <w:tcW w:w="4360" w:type="dxa"/>
            <w:vAlign w:val="bottom"/>
            <w:tcBorders>
              <w:top w:val="single" w:sz="8" w:color="0000FF"/>
            </w:tcBorders>
            <w:gridSpan w:val="9"/>
          </w:tcPr>
          <w:p>
            <w:pPr>
              <w:spacing w:after="0" w:line="135" w:lineRule="exact"/>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agreements.</w:t>
              </w:r>
            </w:hyperlink>
          </w:p>
        </w:tc>
        <w:tc>
          <w:tcPr>
            <w:tcW w:w="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7" w:lineRule="exact"/>
        <w:rPr>
          <w:sz w:val="20"/>
          <w:szCs w:val="20"/>
          <w:color w:val="auto"/>
        </w:rPr>
      </w:pPr>
    </w:p>
    <w:p>
      <w:pPr>
        <w:ind w:left="900" w:hanging="879"/>
        <w:spacing w:after="0"/>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6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333-290396</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3.3</w:t>
            </w:r>
          </w:p>
        </w:tc>
        <w:tc>
          <w:tcPr>
            <w:tcW w:w="15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September 19, 2025</w:t>
            </w:r>
          </w:p>
        </w:tc>
      </w:tr>
      <w:tr>
        <w:trPr>
          <w:trHeight w:val="337"/>
        </w:trPr>
        <w:tc>
          <w:tcPr>
            <w:tcW w:w="6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333-290396</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3.4</w:t>
            </w:r>
          </w:p>
        </w:tc>
        <w:tc>
          <w:tcPr>
            <w:tcW w:w="15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October 10, 2025</w:t>
            </w:r>
          </w:p>
        </w:tc>
      </w:tr>
      <w:tr>
        <w:trPr>
          <w:trHeight w:val="337"/>
        </w:trPr>
        <w:tc>
          <w:tcPr>
            <w:tcW w:w="64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9"/>
              </w:rPr>
              <w:t>S-1/A</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333-290396</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4.1</w:t>
            </w:r>
          </w:p>
        </w:tc>
        <w:tc>
          <w:tcPr>
            <w:tcW w:w="1580" w:type="dxa"/>
            <w:vAlign w:val="bottom"/>
          </w:tcPr>
          <w:p>
            <w:pPr>
              <w:jc w:val="center"/>
              <w:ind w:left="262"/>
              <w:spacing w:after="0"/>
              <w:rPr>
                <w:sz w:val="20"/>
                <w:szCs w:val="20"/>
                <w:color w:val="auto"/>
              </w:rPr>
            </w:pPr>
            <w:r>
              <w:rPr>
                <w:rFonts w:ascii="Times New Roman" w:cs="Times New Roman" w:eastAsia="Times New Roman" w:hAnsi="Times New Roman"/>
                <w:sz w:val="16"/>
                <w:szCs w:val="16"/>
                <w:color w:val="auto"/>
                <w:w w:val="96"/>
              </w:rPr>
              <w:t>October 10, 2025</w:t>
            </w:r>
          </w:p>
        </w:tc>
      </w:tr>
    </w:tbl>
    <w:p>
      <w:pPr>
        <w:spacing w:after="0" w:line="57"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X</w:t>
      </w:r>
    </w:p>
    <w:p>
      <w:pPr>
        <w:spacing w:after="0" w:line="75"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X</w:t>
      </w:r>
    </w:p>
    <w:p>
      <w:pPr>
        <w:spacing w:after="0" w:line="15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X</w:t>
      </w:r>
    </w:p>
    <w:p>
      <w:pPr>
        <w:spacing w:after="0" w:line="15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X</w:t>
      </w:r>
    </w:p>
    <w:p>
      <w:pPr>
        <w:spacing w:after="0" w:line="153" w:lineRule="exact"/>
        <w:rPr>
          <w:sz w:val="20"/>
          <w:szCs w:val="20"/>
          <w:color w:val="auto"/>
        </w:rPr>
      </w:pPr>
    </w:p>
    <w:p>
      <w:pPr>
        <w:ind w:left="80"/>
        <w:spacing w:after="0"/>
        <w:tabs>
          <w:tab w:leader="none" w:pos="880" w:val="left"/>
          <w:tab w:leader="none" w:pos="2180" w:val="left"/>
          <w:tab w:leader="none" w:pos="3060" w:val="left"/>
        </w:tabs>
        <w:rPr>
          <w:sz w:val="20"/>
          <w:szCs w:val="20"/>
          <w:color w:val="auto"/>
        </w:rPr>
      </w:pPr>
      <w:r>
        <w:rPr>
          <w:rFonts w:ascii="Times New Roman" w:cs="Times New Roman" w:eastAsia="Times New Roman" w:hAnsi="Times New Roman"/>
          <w:sz w:val="16"/>
          <w:szCs w:val="16"/>
          <w:color w:val="auto"/>
        </w:rPr>
        <w:t>S-1</w:t>
      </w:r>
      <w:r>
        <w:rPr>
          <w:sz w:val="20"/>
          <w:szCs w:val="20"/>
          <w:color w:val="auto"/>
        </w:rPr>
        <w:tab/>
      </w:r>
      <w:r>
        <w:rPr>
          <w:rFonts w:ascii="Times New Roman" w:cs="Times New Roman" w:eastAsia="Times New Roman" w:hAnsi="Times New Roman"/>
          <w:sz w:val="16"/>
          <w:szCs w:val="16"/>
          <w:color w:val="auto"/>
        </w:rPr>
        <w:t>333-278434</w:t>
      </w:r>
      <w:r>
        <w:rPr>
          <w:sz w:val="20"/>
          <w:szCs w:val="20"/>
          <w:color w:val="auto"/>
        </w:rPr>
        <w:tab/>
      </w: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4"/>
          <w:szCs w:val="14"/>
          <w:color w:val="auto"/>
        </w:rPr>
        <w:t>September 19, 2025</w:t>
      </w:r>
    </w:p>
    <w:p>
      <w:pPr>
        <w:spacing w:after="0" w:line="15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ectPr>
          <w:pgSz w:w="11900" w:h="16838" w:orient="portrait"/>
          <w:cols w:equalWidth="0" w:num="2">
            <w:col w:w="5320" w:space="340"/>
            <w:col w:w="5580"/>
          </w:cols>
          <w:pgMar w:left="320" w:top="1440"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69" w:lineRule="exact"/>
        <w:rPr>
          <w:sz w:val="20"/>
          <w:szCs w:val="20"/>
          <w:color w:val="auto"/>
        </w:rPr>
      </w:pPr>
    </w:p>
    <w:p>
      <w:pPr>
        <w:ind w:left="620" w:hanging="306"/>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67"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67" w:lineRule="exact"/>
        <w:rPr>
          <w:rFonts w:ascii="Times New Roman" w:cs="Times New Roman" w:eastAsia="Times New Roman" w:hAnsi="Times New Roman"/>
          <w:sz w:val="17"/>
          <w:szCs w:val="17"/>
          <w:color w:val="auto"/>
        </w:rPr>
      </w:pPr>
    </w:p>
    <w:p>
      <w:pPr>
        <w:ind w:left="1240" w:right="80" w:hanging="304"/>
        <w:spacing w:after="0" w:line="260" w:lineRule="auto"/>
        <w:tabs>
          <w:tab w:leader="none" w:pos="1231"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3" w:lineRule="exact"/>
        <w:rPr>
          <w:rFonts w:ascii="Times New Roman" w:cs="Times New Roman" w:eastAsia="Times New Roman" w:hAnsi="Times New Roman"/>
          <w:sz w:val="17"/>
          <w:szCs w:val="17"/>
          <w:color w:val="auto"/>
        </w:rPr>
      </w:pPr>
    </w:p>
    <w:p>
      <w:pPr>
        <w:ind w:left="1240" w:right="580" w:hanging="304"/>
        <w:spacing w:after="0" w:line="291" w:lineRule="auto"/>
        <w:tabs>
          <w:tab w:leader="none" w:pos="124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7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and (A)(1)(ii) do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periodic reports filed with or furnished to the Commission by the Registrant pursuant to Section 13 or Section 15(d) of the Exchange Act that are incorporated by reference in this Registration Statement.</w:t>
      </w:r>
    </w:p>
    <w:p>
      <w:pPr>
        <w:spacing w:after="0" w:line="109" w:lineRule="exact"/>
        <w:rPr>
          <w:sz w:val="20"/>
          <w:szCs w:val="20"/>
          <w:color w:val="auto"/>
        </w:rPr>
      </w:pPr>
    </w:p>
    <w:p>
      <w:pPr>
        <w:ind w:left="940" w:right="200" w:hanging="315"/>
        <w:spacing w:after="0" w:line="273" w:lineRule="auto"/>
        <w:tabs>
          <w:tab w:leader="none" w:pos="93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Times New Roman" w:cs="Times New Roman" w:eastAsia="Times New Roman" w:hAnsi="Times New Roman"/>
          <w:sz w:val="17"/>
          <w:szCs w:val="17"/>
          <w:color w:val="auto"/>
        </w:rPr>
      </w:pPr>
    </w:p>
    <w:p>
      <w:pPr>
        <w:ind w:left="940" w:hanging="315"/>
        <w:spacing w:after="0" w:line="291" w:lineRule="auto"/>
        <w:tabs>
          <w:tab w:leader="none" w:pos="93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95" w:lineRule="exact"/>
        <w:rPr>
          <w:rFonts w:ascii="Times New Roman" w:cs="Times New Roman" w:eastAsia="Times New Roman" w:hAnsi="Times New Roman"/>
          <w:sz w:val="17"/>
          <w:szCs w:val="17"/>
          <w:color w:val="auto"/>
        </w:rPr>
      </w:pPr>
    </w:p>
    <w:p>
      <w:pPr>
        <w:ind w:left="620" w:right="200" w:hanging="306"/>
        <w:spacing w:after="0" w:line="263" w:lineRule="auto"/>
        <w:tabs>
          <w:tab w:leader="none" w:pos="61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0" w:lineRule="exact"/>
        <w:rPr>
          <w:rFonts w:ascii="Times New Roman" w:cs="Times New Roman" w:eastAsia="Times New Roman" w:hAnsi="Times New Roman"/>
          <w:sz w:val="17"/>
          <w:szCs w:val="17"/>
          <w:color w:val="auto"/>
        </w:rPr>
      </w:pPr>
    </w:p>
    <w:p>
      <w:pPr>
        <w:ind w:left="620" w:right="60" w:hanging="306"/>
        <w:spacing w:after="0" w:line="260" w:lineRule="auto"/>
        <w:tabs>
          <w:tab w:leader="none" w:pos="61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Palo Alto, State of California, on October 30, 2025.</w:t>
      </w:r>
    </w:p>
    <w:p>
      <w:pPr>
        <w:spacing w:after="0" w:line="14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NAVAN, INC.</w:t>
      </w:r>
    </w:p>
    <w:p>
      <w:pPr>
        <w:spacing w:after="0" w:line="182" w:lineRule="exact"/>
        <w:rPr>
          <w:sz w:val="20"/>
          <w:szCs w:val="20"/>
          <w:color w:val="auto"/>
        </w:rPr>
      </w:pPr>
    </w:p>
    <w:tbl>
      <w:tblPr>
        <w:tblLayout w:type="fixed"/>
        <w:tblInd w:w="5740" w:type="dxa"/>
        <w:tblCellMar>
          <w:top w:w="0" w:type="dxa"/>
          <w:left w:w="0" w:type="dxa"/>
          <w:bottom w:w="0" w:type="dxa"/>
          <w:right w:w="0" w:type="dxa"/>
        </w:tblCellMar>
      </w:tblPr>
      <w:tr>
        <w:trPr>
          <w:trHeight w:val="226"/>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Ariel Cohen</w:t>
            </w:r>
          </w:p>
        </w:tc>
      </w:tr>
      <w:tr>
        <w:trPr>
          <w:trHeight w:val="208"/>
        </w:trPr>
        <w:tc>
          <w:tcPr>
            <w:tcW w:w="68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Ariel Cohen</w:t>
            </w:r>
          </w:p>
        </w:tc>
      </w:tr>
      <w:tr>
        <w:trPr>
          <w:trHeight w:val="226"/>
        </w:trPr>
        <w:tc>
          <w:tcPr>
            <w:tcW w:w="6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Ariel Cohen, Amy Butte, and Howard Baik, and each of them, as his or her true and lawful attorneys-in-fact, proxies, and agents, each with full power of substitution and resubstitution, for him or her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2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5"/>
                <w:szCs w:val="15"/>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Ariel Cohen</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Chairperson of the Board of Directors and Chief Executive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9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Ariel Cohen</w:t>
            </w:r>
          </w:p>
        </w:tc>
        <w:tc>
          <w:tcPr>
            <w:tcW w:w="100" w:type="dxa"/>
            <w:vAlign w:val="bottom"/>
            <w:vMerge w:val="continue"/>
          </w:tcPr>
          <w:p>
            <w:pPr>
              <w:spacing w:after="0"/>
              <w:rPr>
                <w:sz w:val="12"/>
                <w:szCs w:val="12"/>
                <w:color w:val="auto"/>
              </w:rPr>
            </w:pPr>
          </w:p>
        </w:tc>
        <w:tc>
          <w:tcPr>
            <w:tcW w:w="6180" w:type="dxa"/>
            <w:vAlign w:val="bottom"/>
            <w:gridSpan w:val="2"/>
            <w:vMerge w:val="continue"/>
          </w:tcPr>
          <w:p>
            <w:pPr>
              <w:spacing w:after="0"/>
              <w:rPr>
                <w:sz w:val="12"/>
                <w:szCs w:val="12"/>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2"/>
        </w:trPr>
        <w:tc>
          <w:tcPr>
            <w:tcW w:w="2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Amy Butte</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9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Amy Butte</w:t>
            </w:r>
          </w:p>
        </w:tc>
        <w:tc>
          <w:tcPr>
            <w:tcW w:w="100" w:type="dxa"/>
            <w:vAlign w:val="bottom"/>
            <w:vMerge w:val="continue"/>
          </w:tcPr>
          <w:p>
            <w:pPr>
              <w:spacing w:after="0"/>
              <w:rPr>
                <w:sz w:val="14"/>
                <w:szCs w:val="14"/>
                <w:color w:val="auto"/>
              </w:rPr>
            </w:pPr>
          </w:p>
        </w:tc>
        <w:tc>
          <w:tcPr>
            <w:tcW w:w="6180" w:type="dxa"/>
            <w:vAlign w:val="bottom"/>
            <w:gridSpan w:val="2"/>
            <w:vMerge w:val="continue"/>
          </w:tcPr>
          <w:p>
            <w:pPr>
              <w:spacing w:after="0"/>
              <w:rPr>
                <w:sz w:val="14"/>
                <w:szCs w:val="14"/>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57"/>
        </w:trPr>
        <w:tc>
          <w:tcPr>
            <w:tcW w:w="2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Anne Giviskos</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Accounting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9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Accounting Officer</w:t>
            </w:r>
            <w:r>
              <w:rPr>
                <w:rFonts w:ascii="Times New Roman" w:cs="Times New Roman" w:eastAsia="Times New Roman" w:hAnsi="Times New Roman"/>
                <w:sz w:val="17"/>
                <w:szCs w:val="17"/>
                <w:color w:val="auto"/>
              </w:rPr>
              <w:t>)</w:t>
            </w: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Anne Giviskos</w:t>
            </w:r>
          </w:p>
        </w:tc>
        <w:tc>
          <w:tcPr>
            <w:tcW w:w="100" w:type="dxa"/>
            <w:vAlign w:val="bottom"/>
            <w:vMerge w:val="continue"/>
          </w:tcPr>
          <w:p>
            <w:pPr>
              <w:spacing w:after="0"/>
              <w:rPr>
                <w:sz w:val="14"/>
                <w:szCs w:val="14"/>
                <w:color w:val="auto"/>
              </w:rPr>
            </w:pPr>
          </w:p>
        </w:tc>
        <w:tc>
          <w:tcPr>
            <w:tcW w:w="6180" w:type="dxa"/>
            <w:vAlign w:val="bottom"/>
            <w:gridSpan w:val="2"/>
            <w:vMerge w:val="continue"/>
          </w:tcPr>
          <w:p>
            <w:pPr>
              <w:spacing w:after="0"/>
              <w:rPr>
                <w:sz w:val="14"/>
                <w:szCs w:val="14"/>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57"/>
        </w:trPr>
        <w:tc>
          <w:tcPr>
            <w:tcW w:w="2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Ben Horowitz</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Ben Horowitz</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Arif Janmohamed</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Arif Janmohamed</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Kourey</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Michael Kourey</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2020" w:type="dxa"/>
            <w:vAlign w:val="bottom"/>
            <w:vMerge w:val="restart"/>
          </w:tcPr>
          <w:p>
            <w:pPr>
              <w:ind w:left="800"/>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35560</wp:posOffset>
            </wp:positionV>
            <wp:extent cx="1866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28575</wp:posOffset>
            </wp:positionV>
            <wp:extent cx="52133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5213350" cy="825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4420" w:space="720"/>
            <w:col w:w="5280"/>
          </w:cols>
          <w:pgMar w:left="1120" w:top="1440" w:right="359" w:bottom="1440" w:gutter="0" w:footer="0" w:header="0"/>
        </w:sectPr>
      </w:pPr>
    </w:p>
    <w:p>
      <w:pPr>
        <w:jc w:val="center"/>
        <w:ind w:right="2920"/>
        <w:spacing w:after="0"/>
        <w:rPr>
          <w:sz w:val="20"/>
          <w:szCs w:val="20"/>
          <w:color w:val="auto"/>
        </w:rPr>
      </w:pPr>
      <w:r>
        <w:rPr>
          <w:rFonts w:ascii="Times New Roman" w:cs="Times New Roman" w:eastAsia="Times New Roman" w:hAnsi="Times New Roman"/>
          <w:sz w:val="17"/>
          <w:szCs w:val="17"/>
          <w:color w:val="auto"/>
        </w:rPr>
        <w:t>/s/ Clara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19050</wp:posOffset>
            </wp:positionV>
            <wp:extent cx="1866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color w:val="auto"/>
        </w:rPr>
        <w:t>Clara Liang</w:t>
      </w:r>
    </w:p>
    <w:p>
      <w:pPr>
        <w:spacing w:after="0" w:line="310"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color w:val="auto"/>
        </w:rPr>
        <w:t>/s/ 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19050</wp:posOffset>
            </wp:positionV>
            <wp:extent cx="1866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7"/>
          <w:szCs w:val="17"/>
          <w:color w:val="auto"/>
        </w:rPr>
        <w:t>Sandesh Patnam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9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6" w:lineRule="exact"/>
        <w:rPr>
          <w:sz w:val="20"/>
          <w:szCs w:val="20"/>
          <w:color w:val="auto"/>
        </w:rPr>
      </w:pPr>
    </w:p>
    <w:p>
      <w:pPr>
        <w:jc w:val="center"/>
        <w:ind w:right="294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2025</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2025</w:t>
      </w:r>
    </w:p>
    <w:p>
      <w:pPr>
        <w:spacing w:after="0" w:line="200" w:lineRule="exact"/>
        <w:rPr>
          <w:sz w:val="20"/>
          <w:szCs w:val="20"/>
          <w:color w:val="auto"/>
        </w:rPr>
      </w:pPr>
    </w:p>
    <w:p>
      <w:pPr>
        <w:sectPr>
          <w:pgSz w:w="11900" w:h="16838" w:orient="portrait"/>
          <w:cols w:equalWidth="0" w:num="3">
            <w:col w:w="4260" w:space="720"/>
            <w:col w:w="3520" w:space="720"/>
            <w:col w:w="1200"/>
          </w:cols>
          <w:pgMar w:left="1120" w:top="1440" w:right="359" w:bottom="1440" w:gutter="0" w:footer="0" w:header="0"/>
          <w:type w:val="continuous"/>
        </w:sectPr>
      </w:pPr>
    </w:p>
    <w:p>
      <w:pPr>
        <w:spacing w:after="0" w:line="110"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6"/>
          <w:szCs w:val="16"/>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26670</wp:posOffset>
            </wp:positionV>
            <wp:extent cx="1866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42"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Ilan Twig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Technology Officer and Director</w:t>
      </w:r>
    </w:p>
    <w:p>
      <w:pPr>
        <w:jc w:val="right"/>
        <w:spacing w:after="0"/>
        <w:rPr>
          <w:sz w:val="20"/>
          <w:szCs w:val="20"/>
          <w:color w:val="auto"/>
        </w:rPr>
      </w:pPr>
      <w:r>
        <w:rPr>
          <w:rFonts w:ascii="Times New Roman" w:cs="Times New Roman" w:eastAsia="Times New Roman" w:hAnsi="Times New Roman"/>
          <w:sz w:val="17"/>
          <w:szCs w:val="17"/>
          <w:color w:val="auto"/>
        </w:rPr>
        <w:t>October 30, 2025</w:t>
      </w:r>
    </w:p>
    <w:p>
      <w:pPr>
        <w:spacing w:after="0" w:line="200" w:lineRule="exact"/>
        <w:rPr>
          <w:sz w:val="20"/>
          <w:szCs w:val="20"/>
          <w:color w:val="auto"/>
        </w:rPr>
      </w:pPr>
    </w:p>
    <w:p>
      <w:pPr>
        <w:sectPr>
          <w:pgSz w:w="11900" w:h="16838" w:orient="portrait"/>
          <w:cols w:equalWidth="0" w:num="2">
            <w:col w:w="3220" w:space="720"/>
            <w:col w:w="6480"/>
          </w:cols>
          <w:pgMar w:left="1120" w:top="1440" w:right="359" w:bottom="1440" w:gutter="0" w:footer="0" w:header="0"/>
          <w:type w:val="continuous"/>
        </w:sectPr>
      </w:pPr>
    </w:p>
    <w:p>
      <w:pPr>
        <w:spacing w:after="0" w:line="90"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7"/>
          <w:szCs w:val="17"/>
          <w:color w:val="auto"/>
        </w:rPr>
        <w:t>/s/ Anré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19050</wp:posOffset>
            </wp:positionV>
            <wp:extent cx="1866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1"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7"/>
          <w:szCs w:val="17"/>
          <w:color w:val="auto"/>
        </w:rPr>
        <w:t>Anré Williams</w:t>
      </w:r>
    </w:p>
    <w:p>
      <w:pPr>
        <w:spacing w:after="0" w:line="310"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7"/>
          <w:szCs w:val="17"/>
          <w:color w:val="auto"/>
        </w:rPr>
        <w:t>/s/ Oren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19050</wp:posOffset>
            </wp:positionV>
            <wp:extent cx="1866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1"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17"/>
          <w:szCs w:val="17"/>
          <w:color w:val="auto"/>
        </w:rPr>
        <w:t>Oren Zeev</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6"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2025</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2025</w:t>
      </w:r>
    </w:p>
    <w:p>
      <w:pPr>
        <w:sectPr>
          <w:pgSz w:w="11900" w:h="16838" w:orient="portrait"/>
          <w:cols w:equalWidth="0" w:num="3">
            <w:col w:w="3980" w:space="720"/>
            <w:col w:w="3800" w:space="720"/>
            <w:col w:w="1200"/>
          </w:cols>
          <w:pgMar w:left="1120" w:top="1440" w:right="359" w:bottom="1440" w:gutter="0" w:footer="0" w:header="0"/>
          <w:type w:val="continuous"/>
        </w:sectPr>
      </w:pPr>
    </w:p>
    <w:bookmarkStart w:id="26" w:name="page27"/>
    <w:bookmarkEnd w:id="26"/>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Navan,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7"/>
              </w:rPr>
              <w:t>Proposed</w:t>
            </w:r>
          </w:p>
        </w:tc>
        <w:tc>
          <w:tcPr>
            <w:tcW w:w="20" w:type="dxa"/>
            <w:vAlign w:val="bottom"/>
          </w:tcPr>
          <w:p>
            <w:pPr>
              <w:spacing w:after="0"/>
              <w:rPr>
                <w:sz w:val="18"/>
                <w:szCs w:val="18"/>
                <w:color w:val="auto"/>
              </w:rPr>
            </w:pPr>
          </w:p>
        </w:tc>
        <w:tc>
          <w:tcPr>
            <w:tcW w:w="15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Security</w:t>
            </w:r>
          </w:p>
        </w:tc>
        <w:tc>
          <w:tcPr>
            <w:tcW w:w="40" w:type="dxa"/>
            <w:vAlign w:val="bottom"/>
          </w:tcPr>
          <w:p>
            <w:pPr>
              <w:spacing w:after="0"/>
              <w:rPr>
                <w:sz w:val="20"/>
                <w:szCs w:val="20"/>
                <w:color w:val="auto"/>
              </w:rPr>
            </w:pPr>
          </w:p>
        </w:tc>
        <w:tc>
          <w:tcPr>
            <w:tcW w:w="1240" w:type="dxa"/>
            <w:vAlign w:val="bottom"/>
            <w:vMerge w:val="restart"/>
            <w:shd w:val="clear" w:color="auto" w:fill="9ADAF6"/>
          </w:tcPr>
          <w:p>
            <w:pPr>
              <w:ind w:left="20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Fee</w:t>
            </w: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Calculation</w:t>
            </w:r>
          </w:p>
        </w:tc>
        <w:tc>
          <w:tcPr>
            <w:tcW w:w="20" w:type="dxa"/>
            <w:vAlign w:val="bottom"/>
          </w:tcPr>
          <w:p>
            <w:pPr>
              <w:spacing w:after="0"/>
              <w:rPr>
                <w:sz w:val="10"/>
                <w:szCs w:val="10"/>
                <w:color w:val="auto"/>
              </w:rPr>
            </w:pPr>
          </w:p>
        </w:tc>
        <w:tc>
          <w:tcPr>
            <w:tcW w:w="11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0"/>
                <w:szCs w:val="10"/>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Aggregate</w:t>
            </w:r>
          </w:p>
        </w:tc>
        <w:tc>
          <w:tcPr>
            <w:tcW w:w="4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Fee Rate</w:t>
            </w:r>
          </w:p>
        </w:tc>
        <w:tc>
          <w:tcPr>
            <w:tcW w:w="40" w:type="dxa"/>
            <w:vAlign w:val="bottom"/>
          </w:tcPr>
          <w:p>
            <w:pPr>
              <w:spacing w:after="0"/>
              <w:rPr>
                <w:sz w:val="10"/>
                <w:szCs w:val="10"/>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18"/>
                <w:szCs w:val="18"/>
                <w:color w:val="auto"/>
              </w:rPr>
            </w:pPr>
          </w:p>
        </w:tc>
        <w:tc>
          <w:tcPr>
            <w:tcW w:w="1240" w:type="dxa"/>
            <w:vAlign w:val="bottom"/>
            <w:shd w:val="clear" w:color="auto" w:fill="9ADAF6"/>
          </w:tcPr>
          <w:p>
            <w:pPr>
              <w:ind w:left="100"/>
              <w:spacing w:after="0" w:line="208"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spacing w:after="0" w:line="208"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18"/>
                <w:szCs w:val="18"/>
                <w:color w:val="auto"/>
              </w:rPr>
            </w:pPr>
          </w:p>
        </w:tc>
        <w:tc>
          <w:tcPr>
            <w:tcW w:w="12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5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4"/>
                <w:szCs w:val="24"/>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4"/>
                <w:szCs w:val="24"/>
                <w:color w:val="auto"/>
              </w:rPr>
            </w:pPr>
          </w:p>
        </w:tc>
        <w:tc>
          <w:tcPr>
            <w:tcW w:w="1240" w:type="dxa"/>
            <w:vAlign w:val="bottom"/>
            <w:shd w:val="clear" w:color="auto" w:fill="E7E7E2"/>
          </w:tcPr>
          <w:p>
            <w:pPr>
              <w:spacing w:after="0"/>
              <w:rPr>
                <w:sz w:val="20"/>
                <w:szCs w:val="20"/>
                <w:color w:val="auto"/>
              </w:rPr>
            </w:pPr>
            <w:r>
              <w:rPr>
                <w:rFonts w:ascii="Arial" w:cs="Arial" w:eastAsia="Arial" w:hAnsi="Arial"/>
                <w:sz w:val="21"/>
                <w:szCs w:val="21"/>
                <w:color w:val="auto"/>
                <w:w w:val="99"/>
              </w:rPr>
              <w:t>$0.00000625</w:t>
            </w:r>
          </w:p>
        </w:tc>
        <w:tc>
          <w:tcPr>
            <w:tcW w:w="20" w:type="dxa"/>
            <w:vAlign w:val="bottom"/>
          </w:tcPr>
          <w:p>
            <w:pPr>
              <w:spacing w:after="0"/>
              <w:rPr>
                <w:sz w:val="24"/>
                <w:szCs w:val="24"/>
                <w:color w:val="auto"/>
              </w:rPr>
            </w:pPr>
          </w:p>
        </w:tc>
        <w:tc>
          <w:tcPr>
            <w:tcW w:w="116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5"/>
              </w:rPr>
              <w:t>Other</w:t>
            </w:r>
          </w:p>
        </w:tc>
        <w:tc>
          <w:tcPr>
            <w:tcW w:w="20" w:type="dxa"/>
            <w:vAlign w:val="bottom"/>
          </w:tcPr>
          <w:p>
            <w:pPr>
              <w:spacing w:after="0"/>
              <w:rPr>
                <w:sz w:val="24"/>
                <w:szCs w:val="24"/>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6,245,983</w:t>
            </w:r>
          </w:p>
        </w:tc>
        <w:tc>
          <w:tcPr>
            <w:tcW w:w="20" w:type="dxa"/>
            <w:vAlign w:val="bottom"/>
          </w:tcPr>
          <w:p>
            <w:pPr>
              <w:spacing w:after="0"/>
              <w:rPr>
                <w:sz w:val="24"/>
                <w:szCs w:val="24"/>
                <w:color w:val="auto"/>
              </w:rPr>
            </w:pPr>
          </w:p>
        </w:tc>
        <w:tc>
          <w:tcPr>
            <w:tcW w:w="12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$ 25.00</w:t>
            </w:r>
          </w:p>
        </w:tc>
        <w:tc>
          <w:tcPr>
            <w:tcW w:w="20" w:type="dxa"/>
            <w:vAlign w:val="bottom"/>
          </w:tcPr>
          <w:p>
            <w:pPr>
              <w:spacing w:after="0"/>
              <w:rPr>
                <w:sz w:val="24"/>
                <w:szCs w:val="24"/>
                <w:color w:val="auto"/>
              </w:rPr>
            </w:pPr>
          </w:p>
        </w:tc>
        <w:tc>
          <w:tcPr>
            <w:tcW w:w="15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1"/>
                <w:szCs w:val="21"/>
                <w:color w:val="auto"/>
                <w:w w:val="96"/>
              </w:rPr>
              <w:t>0.0001381</w:t>
            </w:r>
          </w:p>
        </w:tc>
        <w:tc>
          <w:tcPr>
            <w:tcW w:w="40" w:type="dxa"/>
            <w:vAlign w:val="bottom"/>
          </w:tcPr>
          <w:p>
            <w:pPr>
              <w:spacing w:after="0"/>
              <w:rPr>
                <w:sz w:val="24"/>
                <w:szCs w:val="24"/>
                <w:color w:val="auto"/>
              </w:rPr>
            </w:pPr>
          </w:p>
        </w:tc>
        <w:tc>
          <w:tcPr>
            <w:tcW w:w="14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$ 21,564.26</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E7E7E2"/>
          </w:tcPr>
          <w:p>
            <w:pPr>
              <w:jc w:val="right"/>
              <w:spacing w:after="0" w:line="142" w:lineRule="exact"/>
              <w:rPr>
                <w:sz w:val="20"/>
                <w:szCs w:val="20"/>
                <w:color w:val="auto"/>
              </w:rPr>
            </w:pPr>
            <w:r>
              <w:rPr>
                <w:rFonts w:ascii="Arial" w:cs="Arial" w:eastAsia="Arial" w:hAnsi="Arial"/>
                <w:sz w:val="16"/>
                <w:szCs w:val="16"/>
                <w:color w:val="auto"/>
              </w:rPr>
              <w:t>156,149,575.00</w:t>
            </w:r>
          </w:p>
        </w:tc>
        <w:tc>
          <w:tcPr>
            <w:tcW w:w="4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Navan, Inc.</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$ 21,564.26</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156,149,575.00</w:t>
            </w: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$ 21,564.26</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820" w:right="880"/>
        <w:spacing w:after="0" w:line="239" w:lineRule="auto"/>
        <w:rPr>
          <w:sz w:val="20"/>
          <w:szCs w:val="20"/>
          <w:color w:val="auto"/>
        </w:rPr>
      </w:pPr>
      <w:r>
        <w:rPr>
          <w:rFonts w:ascii="Arial" w:cs="Arial" w:eastAsia="Arial" w:hAnsi="Arial"/>
          <w:sz w:val="21"/>
          <w:szCs w:val="21"/>
          <w:color w:val="auto"/>
        </w:rPr>
        <w:t>a. Pursuant to Rule 416(a) promulgated under the Securities Act of 1933, as amended (the "Securities Act"), this Registration Statement shall also cover any additional shares of common stock that become issuable under the stock options or restricted stock units ("RSUs") set forth herein by reason of any stock dividend, stock split, recapitalization, or other similar transaction effected that results in an increase to the number of outstanding shares of common stock.</w:t>
      </w:r>
    </w:p>
    <w:p>
      <w:pPr>
        <w:spacing w:after="0" w:line="196" w:lineRule="exact"/>
        <w:rPr>
          <w:sz w:val="20"/>
          <w:szCs w:val="20"/>
          <w:color w:val="auto"/>
        </w:rPr>
      </w:pPr>
    </w:p>
    <w:p>
      <w:pPr>
        <w:ind w:left="820" w:right="720"/>
        <w:spacing w:after="0" w:line="242" w:lineRule="auto"/>
        <w:rPr>
          <w:sz w:val="20"/>
          <w:szCs w:val="20"/>
          <w:color w:val="auto"/>
        </w:rPr>
      </w:pPr>
      <w:r>
        <w:rPr>
          <w:rFonts w:ascii="Arial" w:cs="Arial" w:eastAsia="Arial" w:hAnsi="Arial"/>
          <w:sz w:val="21"/>
          <w:szCs w:val="21"/>
          <w:color w:val="auto"/>
        </w:rPr>
        <w:t>b. Estimated in accordance with Rule 457(h) promulgated under the Securities Act solely for the purpose of calculating the registration fee on the basis of the initial public offering price of $25.00 per share of Class A common stock pursuant to the Registrant's Registration Statement on Form S-1 (File No. 333-290396), which became effective on October 29, 2025.</w:t>
      </w:r>
    </w:p>
    <w:p>
      <w:pPr>
        <w:spacing w:after="0" w:line="192" w:lineRule="exact"/>
        <w:rPr>
          <w:sz w:val="20"/>
          <w:szCs w:val="20"/>
          <w:color w:val="auto"/>
        </w:rPr>
      </w:pPr>
    </w:p>
    <w:p>
      <w:pPr>
        <w:ind w:left="820" w:right="1020"/>
        <w:spacing w:after="0" w:line="247" w:lineRule="auto"/>
        <w:rPr>
          <w:sz w:val="20"/>
          <w:szCs w:val="20"/>
          <w:color w:val="auto"/>
        </w:rPr>
      </w:pPr>
      <w:r>
        <w:rPr>
          <w:rFonts w:ascii="Arial" w:cs="Arial" w:eastAsia="Arial" w:hAnsi="Arial"/>
          <w:sz w:val="21"/>
          <w:szCs w:val="21"/>
          <w:color w:val="auto"/>
        </w:rPr>
        <w:t>c. Consists of shares of Class A common stock issued pursuant to the exercise of stock options granted under the Registrant's 2015 Equity Incentive Plan, as amended (the "2015 Plan") and shares issued or issuable pursuant to the settlement of outstanding RSUs granted under the 2015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73025</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340"/>
          </w:cols>
          <w:pgMar w:left="320" w:top="141" w:right="239" w:bottom="577" w:gutter="0" w:footer="0" w:header="0"/>
        </w:sectPr>
      </w:pPr>
    </w:p>
    <w:bookmarkStart w:id="27" w:name="page28"/>
    <w:bookmarkEnd w:id="27"/>
    <w:p>
      <w:pPr>
        <w:ind w:left="1042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-118745</wp:posOffset>
            </wp:positionV>
            <wp:extent cx="1184275" cy="386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8427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9"/>
          <w:szCs w:val="19"/>
          <w:color w:val="auto"/>
        </w:rPr>
        <w:t>John T. McKenna</w:t>
      </w:r>
    </w:p>
    <w:p>
      <w:pPr>
        <w:spacing w:after="0" w:line="31" w:lineRule="exact"/>
        <w:rPr>
          <w:sz w:val="20"/>
          <w:szCs w:val="20"/>
          <w:color w:val="auto"/>
        </w:rPr>
      </w:pPr>
    </w:p>
    <w:p>
      <w:pPr>
        <w:ind w:left="20" w:right="9260" w:firstLine="1"/>
        <w:spacing w:after="0" w:line="315"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+1 650 843 5059 jmckenna@cooley.com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October 30, 2025</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Navan,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3045 Park Boulevard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Palo Alto, CA 94306</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acted as counsel to Navan,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filing by the Company of a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xml:space="preserve">”) covering the registration for resale of up to 6,245,983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Class A Common Stock, $0.00000625 par value, on behalf of the selling stockholders described in the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included in the Registration Statement.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connection with this opinion, we have examined and relied upon (a) the Registration Statement and the Prospectus, (b) the Company’s certificate of incorporation and bylaws, each as currently in effect, (c) the Company’s 2015 Equity Incentive Plan, as amended,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On the basis of the foregoing, and in reliance thereon, we are of the opinion that the Shares are validly issued, fully paid and nonassessable, except with respect to Shares to be acquired upon the settlement of restricted stock units issued by the Company, which Shares will be validly issued, fully paid and nonassessable upon such settlement or conversion.</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Cooley LLP 3175 Hanover Street Palo Alto, CA 94304-1130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 +1 650 843 5000 f: +1 650 843 7400 cooley.com</w:t>
      </w:r>
    </w:p>
    <w:p>
      <w:pPr>
        <w:sectPr>
          <w:pgSz w:w="11900" w:h="16838" w:orient="portrait"/>
          <w:cols w:equalWidth="0" w:num="1">
            <w:col w:w="11240"/>
          </w:cols>
          <w:pgMar w:left="320" w:top="158"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213995</wp:posOffset>
            </wp:positionH>
            <wp:positionV relativeFrom="page">
              <wp:posOffset>113665</wp:posOffset>
            </wp:positionV>
            <wp:extent cx="1101725" cy="361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01725" cy="361950"/>
                    </a:xfrm>
                    <a:prstGeom prst="rect">
                      <a:avLst/>
                    </a:prstGeom>
                    <a:noFill/>
                  </pic:spPr>
                </pic:pic>
              </a:graphicData>
            </a:graphic>
          </wp:anchor>
        </w:drawing>
        <w:t>October 30, 2025</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Page Two</w:t>
      </w:r>
    </w:p>
    <w:p>
      <w:pPr>
        <w:spacing w:after="0" w:line="200" w:lineRule="exact"/>
        <w:rPr>
          <w:sz w:val="20"/>
          <w:szCs w:val="20"/>
          <w:color w:val="auto"/>
        </w:rPr>
      </w:pPr>
    </w:p>
    <w:p>
      <w:pPr>
        <w:spacing w:after="0" w:line="34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consent to the filing of this opinion as an exhibit to the Registration Statement and to the reference to our firm under the heading “Legal Matters” in the Prospectus. In giving such consents, we do not thereby admit that we are in the category of persons whose consent is required under Section 7 of the Securities Act of 1933, as amended, or the rules and regulations of the Commission thereunder.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Sincerely,</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9"/>
          <w:szCs w:val="19"/>
          <w:color w:val="auto"/>
        </w:rPr>
        <w:t>By:</w:t>
        <w:tab/>
        <w:t>/s/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22860</wp:posOffset>
            </wp:positionV>
            <wp:extent cx="2705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John T. McKenna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Cooley LLP 3175 Hanover Street Palo Alto, CA 94304-1130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 +1 650 843 5000 f: +1 650 843 7400 cooley.com</w:t>
      </w:r>
    </w:p>
    <w:p>
      <w:pPr>
        <w:sectPr>
          <w:pgSz w:w="11900" w:h="16838" w:orient="portrait"/>
          <w:cols w:equalWidth="0" w:num="1">
            <w:col w:w="11240"/>
          </w:cols>
          <w:pgMar w:left="320" w:top="105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20"/>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line="257" w:lineRule="auto"/>
        <w:rPr>
          <w:sz w:val="20"/>
          <w:szCs w:val="20"/>
          <w:color w:val="auto"/>
        </w:rPr>
      </w:pPr>
      <w:r>
        <w:rPr>
          <w:rFonts w:ascii="Georgia" w:cs="Georgia" w:eastAsia="Georgia" w:hAnsi="Georgia"/>
          <w:sz w:val="17"/>
          <w:szCs w:val="17"/>
          <w:color w:val="auto"/>
        </w:rPr>
        <w:t>We hereby consent to the incorporation by reference in this Registration Statement on Form S-8 of Navan, Inc. of our report dated April 30, 2025, except for the disaggregated usage-based and subscription revenue information included in Note 2 to the consolidated financial statements, as to which the date is July 25, 2025, and except for the effects of the reverse stock split discussed in Note 1 to the consolidated financial statements, as to which the date is September 19, 2025, relating to the financial statements, which appears in Navan, Inc.'s Amendment No. 1 to the Registration Statement on Form S-1 (No. 333-290396). We also consent to the reference to us under the heading “Experts” in this Registration Statement.</w:t>
      </w:r>
    </w:p>
    <w:p>
      <w:pPr>
        <w:spacing w:after="0" w:line="313"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14" w:lineRule="exact"/>
        <w:rPr>
          <w:sz w:val="20"/>
          <w:szCs w:val="20"/>
          <w:color w:val="auto"/>
        </w:rPr>
      </w:pPr>
    </w:p>
    <w:p>
      <w:pPr>
        <w:spacing w:after="0"/>
        <w:rPr>
          <w:sz w:val="20"/>
          <w:szCs w:val="20"/>
          <w:color w:val="auto"/>
        </w:rPr>
      </w:pPr>
      <w:r>
        <w:rPr>
          <w:rFonts w:ascii="Georgia" w:cs="Georgia" w:eastAsia="Georgia" w:hAnsi="Georgia"/>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Georgia" w:cs="Georgia" w:eastAsia="Georgia" w:hAnsi="Georgia"/>
          <w:sz w:val="17"/>
          <w:szCs w:val="17"/>
          <w:color w:val="auto"/>
        </w:rPr>
        <w:t>October 30, 2025</w:t>
      </w:r>
    </w:p>
    <w:sectPr>
      <w:pgSz w:w="11900" w:h="16838" w:orient="portrait"/>
      <w:cols w:equalWidth="0" w:num="1">
        <w:col w:w="11240"/>
      </w:cols>
      <w:pgMar w:left="320" w:top="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07"/>
    </w:lvl>
  </w:abstractNum>
  <w:abstractNum w:abstractNumId="17">
    <w:nsid w:val="257130A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8">
    <w:nsid w:val="62BBD95A"/>
    <w:multiLevelType w:val="hybridMultilevel"/>
    <w:lvl w:ilvl="0">
      <w:lvlJc w:val="left"/>
      <w:lvlText w:val="%1"/>
      <w:numFmt w:val="upperLetter"/>
      <w:start w:val="1"/>
    </w:lvl>
    <w:lvl w:ilvl="1">
      <w:lvlJc w:val="left"/>
      <w:lvlText w:val="(%2)"/>
      <w:numFmt w:val="decimal"/>
      <w:start w:val="2"/>
    </w:lvl>
  </w:abstractNum>
  <w:abstractNum w:abstractNumId="19">
    <w:nsid w:val="436C6125"/>
    <w:multiLevelType w:val="hybridMultilevel"/>
    <w:lvl w:ilvl="0">
      <w:lvlJc w:val="left"/>
      <w:lvlText w:val="%1."/>
      <w:numFmt w:val="upperLetter"/>
      <w:start w:val="2"/>
    </w:lvl>
    <w:lvl w:ilvl="1">
      <w:lvlJc w:val="left"/>
      <w:lvlText w:val="%2"/>
      <w:numFmt w:val="decimal"/>
      <w:start w:val="1"/>
    </w:lvl>
  </w:abstractNum>
  <w:abstractNum w:abstractNumId="20">
    <w:nsid w:val="628C895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png"/><Relationship Id="rId17" Type="http://schemas.openxmlformats.org/officeDocument/2006/relationships/hyperlink" Target="https://www.sec.gov/Archives/edgar/data/1639723/000162828025044812/navan-sx1a.htm" TargetMode="External"/><Relationship Id="rId18" Type="http://schemas.openxmlformats.org/officeDocument/2006/relationships/hyperlink" Target="https://www.sec.gov/Archives/edgar/data/1639723/000162828025047029/navan-8xaamended.htm" TargetMode="External"/><Relationship Id="rId19" Type="http://schemas.openxmlformats.org/officeDocument/2006/relationships/hyperlink" Target="https://www.sec.gov/Archives/edgar/data/1639723/000162828025042130/exhibit31-sx1.htm" TargetMode="External"/><Relationship Id="rId20" Type="http://schemas.openxmlformats.org/officeDocument/2006/relationships/hyperlink" Target="https://www.sec.gov/Archives/edgar/data/1639723/000162828025044812/exhibit32-sx1a.htm" TargetMode="External"/><Relationship Id="rId21" Type="http://schemas.openxmlformats.org/officeDocument/2006/relationships/hyperlink" Target="https://www.sec.gov/Archives/edgar/data/1639723/000162828025042130/exhibit33-sx1.htm" TargetMode="External"/><Relationship Id="rId22" Type="http://schemas.openxmlformats.org/officeDocument/2006/relationships/hyperlink" Target="https://www.sec.gov/Archives/edgar/data/1639723/000162828025044812/exhibit34-sx1a.htm" TargetMode="External"/><Relationship Id="rId23" Type="http://schemas.openxmlformats.org/officeDocument/2006/relationships/hyperlink" Target="https://www.sec.gov/Archives/edgar/data/1639723/000162828025044812/exhibit41-sx1a.htm" TargetMode="External"/><Relationship Id="rId24" Type="http://schemas.openxmlformats.org/officeDocument/2006/relationships/hyperlink" Target="https://www.sec.gov/Archives/edgar/data/1639723/000162828025042130/exhibit10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2025-10-30T07:15:15Z</dcterms:created>
  <dcterms:modified xsi:type="dcterms:W3CDTF">2025-10-30T07:15:15Z</dcterms:modified>
</cp:coreProperties>
</file>