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277"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8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320" w:type="dxa"/>
            <w:vAlign w:val="bottom"/>
            <w:gridSpan w:val="7"/>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Andreessen Horowitz Fund V, L.P.</w:t>
              </w:r>
            </w:hyperlink>
          </w:p>
        </w:tc>
        <w:tc>
          <w:tcPr>
            <w:tcW w:w="2040" w:type="dxa"/>
            <w:vAlign w:val="bottom"/>
            <w:gridSpan w:val="3"/>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Navan,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NAVN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0" w:type="dxa"/>
            <w:vAlign w:val="bottom"/>
            <w:gridSpan w:val="6"/>
            <w:vMerge w:val="continue"/>
          </w:tcPr>
          <w:p>
            <w:pPr>
              <w:spacing w:after="0"/>
              <w:rPr>
                <w:sz w:val="6"/>
                <w:szCs w:val="6"/>
                <w:color w:val="auto"/>
              </w:rPr>
            </w:pPr>
          </w:p>
        </w:tc>
        <w:tc>
          <w:tcPr>
            <w:tcW w:w="980" w:type="dxa"/>
            <w:vAlign w:val="bottom"/>
            <w:tcBorders>
              <w:bottom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6"/>
            <w:vMerge w:val="continue"/>
          </w:tcPr>
          <w:p>
            <w:pPr>
              <w:spacing w:after="0"/>
              <w:rPr>
                <w:sz w:val="5"/>
                <w:szCs w:val="5"/>
                <w:color w:val="auto"/>
              </w:rPr>
            </w:pPr>
          </w:p>
        </w:tc>
        <w:tc>
          <w:tcPr>
            <w:tcW w:w="9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restart"/>
          </w:tcPr>
          <w:p>
            <w:pPr>
              <w:ind w:left="220"/>
              <w:spacing w:after="0"/>
              <w:rPr>
                <w:sz w:val="20"/>
                <w:szCs w:val="20"/>
                <w:color w:val="auto"/>
              </w:rPr>
            </w:pPr>
            <w:r>
              <w:rPr>
                <w:rFonts w:ascii="Arial" w:cs="Arial" w:eastAsia="Arial" w:hAnsi="Arial"/>
                <w:sz w:val="13"/>
                <w:szCs w:val="13"/>
                <w:color w:val="auto"/>
              </w:rPr>
              <w:t>Director</w:t>
            </w:r>
          </w:p>
        </w:tc>
        <w:tc>
          <w:tcPr>
            <w:tcW w:w="700" w:type="dxa"/>
            <w:vAlign w:val="bottom"/>
          </w:tcPr>
          <w:p>
            <w:pPr>
              <w:spacing w:after="0"/>
              <w:rPr>
                <w:sz w:val="5"/>
                <w:szCs w:val="5"/>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10% Owner</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76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Other (specify</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gridSpan w:val="2"/>
            <w:vMerge w:val="continue"/>
          </w:tcPr>
          <w:p>
            <w:pPr>
              <w:spacing w:after="0" w:line="20" w:lineRule="exact"/>
              <w:rPr>
                <w:sz w:val="1"/>
                <w:szCs w:val="1"/>
                <w:color w:val="auto"/>
              </w:rPr>
            </w:pPr>
          </w:p>
        </w:tc>
        <w:tc>
          <w:tcPr>
            <w:tcW w:w="118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760" w:type="dxa"/>
            <w:vAlign w:val="bottom"/>
            <w:gridSpan w:val="2"/>
            <w:vMerge w:val="continue"/>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400"/>
              <w:spacing w:after="0"/>
              <w:rPr>
                <w:sz w:val="20"/>
                <w:szCs w:val="20"/>
                <w:color w:val="auto"/>
              </w:rPr>
            </w:pPr>
            <w:r>
              <w:rPr>
                <w:rFonts w:ascii="Arial" w:cs="Arial" w:eastAsia="Arial" w:hAnsi="Arial"/>
                <w:sz w:val="13"/>
                <w:szCs w:val="13"/>
                <w:color w:val="auto"/>
              </w:rPr>
              <w:t>(First)</w:t>
            </w:r>
          </w:p>
        </w:tc>
        <w:tc>
          <w:tcPr>
            <w:tcW w:w="1920" w:type="dxa"/>
            <w:vAlign w:val="bottom"/>
            <w:gridSpan w:val="4"/>
          </w:tcPr>
          <w:p>
            <w:pPr>
              <w:ind w:left="560"/>
              <w:spacing w:after="0"/>
              <w:rPr>
                <w:sz w:val="20"/>
                <w:szCs w:val="20"/>
                <w:color w:val="auto"/>
              </w:rPr>
            </w:pPr>
            <w:r>
              <w:rPr>
                <w:rFonts w:ascii="Arial" w:cs="Arial" w:eastAsia="Arial" w:hAnsi="Arial"/>
                <w:sz w:val="13"/>
                <w:szCs w:val="13"/>
                <w:color w:val="auto"/>
              </w:rPr>
              <w:t>(Middle)</w:t>
            </w:r>
          </w:p>
        </w:tc>
        <w:tc>
          <w:tcPr>
            <w:tcW w:w="2880" w:type="dxa"/>
            <w:vAlign w:val="bottom"/>
            <w:gridSpan w:val="4"/>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below)</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01/07/2026</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8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3380" w:type="dxa"/>
            <w:vAlign w:val="bottom"/>
            <w:gridSpan w:val="5"/>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6"/>
                <w:szCs w:val="6"/>
                <w:color w:val="auto"/>
              </w:rPr>
            </w:pPr>
          </w:p>
        </w:tc>
        <w:tc>
          <w:tcPr>
            <w:tcW w:w="3320" w:type="dxa"/>
            <w:vAlign w:val="bottom"/>
            <w:gridSpan w:val="7"/>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332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vMerge w:val="restart"/>
          </w:tcPr>
          <w:p>
            <w:pPr>
              <w:spacing w:after="0"/>
              <w:rPr>
                <w:sz w:val="3"/>
                <w:szCs w:val="3"/>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2940" w:type="dxa"/>
            <w:vAlign w:val="bottom"/>
            <w:gridSpan w:val="5"/>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4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MENLO PARK CA</w:t>
            </w:r>
          </w:p>
        </w:tc>
        <w:tc>
          <w:tcPr>
            <w:tcW w:w="1080" w:type="dxa"/>
            <w:vAlign w:val="bottom"/>
          </w:tcPr>
          <w:p>
            <w:pPr>
              <w:ind w:left="560"/>
              <w:spacing w:after="0" w:line="189" w:lineRule="exact"/>
              <w:rPr>
                <w:sz w:val="20"/>
                <w:szCs w:val="20"/>
                <w:color w:val="auto"/>
              </w:rPr>
            </w:pPr>
            <w:r>
              <w:rPr>
                <w:rFonts w:ascii="Times New Roman" w:cs="Times New Roman" w:eastAsia="Times New Roman" w:hAnsi="Times New Roman"/>
                <w:sz w:val="17"/>
                <w:szCs w:val="17"/>
                <w:color w:val="0000FF"/>
              </w:rPr>
              <w:t>94025</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40" w:type="dxa"/>
            <w:vAlign w:val="bottom"/>
            <w:gridSpan w:val="5"/>
          </w:tcPr>
          <w:p>
            <w:pPr>
              <w:ind w:left="220"/>
              <w:spacing w:after="0"/>
              <w:rPr>
                <w:sz w:val="20"/>
                <w:szCs w:val="20"/>
                <w:color w:val="auto"/>
              </w:rPr>
            </w:pPr>
            <w:r>
              <w:rPr>
                <w:rFonts w:ascii="Arial" w:cs="Arial" w:eastAsia="Arial" w:hAnsi="Arial"/>
                <w:sz w:val="13"/>
                <w:szCs w:val="13"/>
                <w:color w:val="auto"/>
              </w:rPr>
              <w:t>Form filed by More than One Reporting</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Person</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400"/>
              <w:spacing w:after="0"/>
              <w:rPr>
                <w:sz w:val="20"/>
                <w:szCs w:val="20"/>
                <w:color w:val="auto"/>
              </w:rPr>
            </w:pPr>
            <w:r>
              <w:rPr>
                <w:rFonts w:ascii="Arial" w:cs="Arial" w:eastAsia="Arial" w:hAnsi="Arial"/>
                <w:sz w:val="13"/>
                <w:szCs w:val="13"/>
                <w:color w:val="auto"/>
              </w:rPr>
              <w:t>(State)</w:t>
            </w:r>
          </w:p>
        </w:tc>
        <w:tc>
          <w:tcPr>
            <w:tcW w:w="1920" w:type="dxa"/>
            <w:vAlign w:val="bottom"/>
            <w:gridSpan w:val="4"/>
          </w:tcPr>
          <w:p>
            <w:pPr>
              <w:ind w:left="560"/>
              <w:spacing w:after="0"/>
              <w:rPr>
                <w:sz w:val="20"/>
                <w:szCs w:val="20"/>
                <w:color w:val="auto"/>
              </w:rPr>
            </w:pPr>
            <w:r>
              <w:rPr>
                <w:rFonts w:ascii="Arial" w:cs="Arial" w:eastAsia="Arial" w:hAnsi="Arial"/>
                <w:sz w:val="13"/>
                <w:szCs w:val="13"/>
                <w:color w:val="auto"/>
              </w:rPr>
              <w:t>(Zip)</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2760" w:type="dxa"/>
            <w:vAlign w:val="bottom"/>
            <w:tcBorders>
              <w:bottom w:val="single" w:sz="8" w:color="2C2C2C"/>
            </w:tcBorders>
            <w:gridSpan w:val="5"/>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06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13"/>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1000"/>
              <w:spacing w:after="0"/>
              <w:rPr>
                <w:sz w:val="20"/>
                <w:szCs w:val="20"/>
                <w:color w:val="auto"/>
              </w:rPr>
            </w:pPr>
            <w:r>
              <w:rPr>
                <w:rFonts w:ascii="Arial" w:cs="Arial" w:eastAsia="Arial" w:hAnsi="Arial"/>
                <w:sz w:val="12"/>
                <w:szCs w:val="12"/>
                <w:b w:val="1"/>
                <w:bCs w:val="1"/>
                <w:color w:val="auto"/>
              </w:rPr>
              <w:t>2. Transaction</w:t>
            </w:r>
          </w:p>
        </w:tc>
        <w:tc>
          <w:tcPr>
            <w:tcW w:w="1240" w:type="dxa"/>
            <w:vAlign w:val="bottom"/>
            <w:gridSpan w:val="2"/>
          </w:tcPr>
          <w:p>
            <w:pPr>
              <w:ind w:left="2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20" w:type="dxa"/>
            <w:vAlign w:val="bottom"/>
            <w:gridSpan w:val="4"/>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160" w:type="dxa"/>
            <w:vAlign w:val="bottom"/>
            <w:gridSpan w:val="6"/>
          </w:tcPr>
          <w:p>
            <w:pPr>
              <w:ind w:left="100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200" w:type="dxa"/>
            <w:vAlign w:val="bottom"/>
          </w:tcPr>
          <w:p>
            <w:pPr>
              <w:spacing w:after="0"/>
              <w:rPr>
                <w:sz w:val="11"/>
                <w:szCs w:val="11"/>
                <w:color w:val="auto"/>
              </w:rPr>
            </w:pP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200" w:type="dxa"/>
            <w:vAlign w:val="bottom"/>
          </w:tcPr>
          <w:p>
            <w:pPr>
              <w:spacing w:after="0"/>
              <w:rPr>
                <w:sz w:val="11"/>
                <w:szCs w:val="11"/>
                <w:color w:val="auto"/>
              </w:rPr>
            </w:pP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7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6"/>
                <w:szCs w:val="6"/>
                <w:color w:val="auto"/>
              </w:rPr>
            </w:pPr>
          </w:p>
        </w:tc>
        <w:tc>
          <w:tcPr>
            <w:tcW w:w="9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8"/>
                <w:szCs w:val="8"/>
                <w:color w:val="auto"/>
              </w:rPr>
            </w:pPr>
          </w:p>
        </w:tc>
        <w:tc>
          <w:tcPr>
            <w:tcW w:w="1060" w:type="dxa"/>
            <w:vAlign w:val="bottom"/>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20" w:type="dxa"/>
            <w:vAlign w:val="bottom"/>
            <w:gridSpan w:val="4"/>
          </w:tcPr>
          <w:p>
            <w:pPr>
              <w:ind w:left="1100"/>
              <w:spacing w:after="0"/>
              <w:rPr>
                <w:sz w:val="20"/>
                <w:szCs w:val="20"/>
                <w:color w:val="auto"/>
              </w:rPr>
            </w:pPr>
            <w:r>
              <w:rPr>
                <w:rFonts w:ascii="Times New Roman" w:cs="Times New Roman" w:eastAsia="Times New Roman" w:hAnsi="Times New Roman"/>
                <w:sz w:val="17"/>
                <w:szCs w:val="17"/>
                <w:color w:val="0000FF"/>
              </w:rPr>
              <w:t>01/07/2026</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46,337</w:t>
            </w:r>
          </w:p>
        </w:tc>
        <w:tc>
          <w:tcPr>
            <w:tcW w:w="50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gridSpan w:val="2"/>
          </w:tcPr>
          <w:p>
            <w:pPr>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18.11</w:t>
            </w:r>
            <w:r>
              <w:rPr>
                <w:rFonts w:ascii="Times New Roman" w:cs="Times New Roman" w:eastAsia="Times New Roman" w:hAnsi="Times New Roman"/>
                <w:sz w:val="22"/>
                <w:szCs w:val="22"/>
                <w:color w:val="008000"/>
                <w:vertAlign w:val="superscript"/>
              </w:rPr>
              <w:t>(1)</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8,346,792</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6,757,090</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 L.P.</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607,161</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III, L.P.</w:t>
            </w:r>
            <w:r>
              <w:rPr>
                <w:rFonts w:ascii="Times New Roman" w:cs="Times New Roman" w:eastAsia="Times New Roman" w:hAnsi="Times New Roman"/>
                <w:sz w:val="22"/>
                <w:szCs w:val="22"/>
                <w:color w:val="008000"/>
                <w:w w:val="97"/>
                <w:vertAlign w:val="superscript"/>
              </w:rPr>
              <w:t>(4)(5)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2,081,772</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Fund V,</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CLF</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17,001</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AH</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10,408,860</w:t>
            </w:r>
          </w:p>
        </w:tc>
        <w:tc>
          <w:tcPr>
            <w:tcW w:w="7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Parallel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10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Fund V,</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(8)(9)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3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20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1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6"/>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150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bl>
    <w:p>
      <w:pPr>
        <w:sectPr>
          <w:pgSz w:w="11900" w:h="16838" w:orient="portrait"/>
          <w:cols w:equalWidth="0" w:num="1">
            <w:col w:w="11080"/>
          </w:cols>
          <w:pgMar w:left="460" w:top="219" w:right="359" w:bottom="27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720" w:type="dxa"/>
            <w:vAlign w:val="bottom"/>
            <w:gridSpan w:val="2"/>
          </w:tcPr>
          <w:p>
            <w:pPr>
              <w:ind w:left="60"/>
              <w:spacing w:after="0" w:line="122" w:lineRule="exact"/>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2.</w:t>
            </w:r>
          </w:p>
        </w:tc>
        <w:tc>
          <w:tcPr>
            <w:tcW w:w="1200" w:type="dxa"/>
            <w:vAlign w:val="bottom"/>
            <w:gridSpan w:val="3"/>
          </w:tcPr>
          <w:p>
            <w:pPr>
              <w:ind w:left="100"/>
              <w:spacing w:after="0" w:line="122" w:lineRule="exact"/>
              <w:rPr>
                <w:sz w:val="20"/>
                <w:szCs w:val="20"/>
                <w:color w:val="auto"/>
              </w:rPr>
            </w:pPr>
            <w:r>
              <w:rPr>
                <w:rFonts w:ascii="Arial" w:cs="Arial" w:eastAsia="Arial" w:hAnsi="Arial"/>
                <w:sz w:val="12"/>
                <w:szCs w:val="12"/>
                <w:b w:val="1"/>
                <w:bCs w:val="1"/>
                <w:color w:val="auto"/>
              </w:rPr>
              <w:t>3. Transaction</w:t>
            </w:r>
          </w:p>
        </w:tc>
        <w:tc>
          <w:tcPr>
            <w:tcW w:w="1080" w:type="dxa"/>
            <w:vAlign w:val="bottom"/>
            <w:gridSpan w:val="2"/>
          </w:tcPr>
          <w:p>
            <w:pPr>
              <w:ind w:left="20"/>
              <w:spacing w:after="0" w:line="122"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89"/>
              </w:rPr>
              <w:t>4Code.</w:t>
            </w:r>
          </w:p>
        </w:tc>
        <w:tc>
          <w:tcPr>
            <w:tcW w:w="380" w:type="dxa"/>
            <w:vAlign w:val="bottom"/>
            <w:gridSpan w:val="3"/>
          </w:tcPr>
          <w:p>
            <w:pPr>
              <w:ind w:left="60"/>
              <w:spacing w:after="0" w:line="122"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72"/>
              </w:rPr>
              <w:t>6Exercisable.DateExercisableDate and</w:t>
            </w:r>
          </w:p>
        </w:tc>
        <w:tc>
          <w:tcPr>
            <w:tcW w:w="98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or Exercise</w:t>
            </w:r>
          </w:p>
        </w:tc>
        <w:tc>
          <w:tcPr>
            <w:tcW w:w="1200" w:type="dxa"/>
            <w:vAlign w:val="bottom"/>
            <w:gridSpan w:val="3"/>
          </w:tcPr>
          <w:p>
            <w:pPr>
              <w:ind w:left="100"/>
              <w:spacing w:after="0" w:line="121" w:lineRule="exact"/>
              <w:rPr>
                <w:sz w:val="20"/>
                <w:szCs w:val="20"/>
                <w:color w:val="auto"/>
              </w:rPr>
            </w:pPr>
            <w:r>
              <w:rPr>
                <w:rFonts w:ascii="Arial" w:cs="Arial" w:eastAsia="Arial" w:hAnsi="Arial"/>
                <w:sz w:val="8"/>
                <w:szCs w:val="8"/>
                <w:b w:val="1"/>
                <w:bCs w:val="1"/>
                <w:color w:val="auto"/>
              </w:rPr>
              <w:t>(Month/Day/Year)</w:t>
            </w:r>
            <w:r>
              <w:rPr>
                <w:rFonts w:ascii="Arial" w:cs="Arial" w:eastAsia="Arial" w:hAnsi="Arial"/>
                <w:sz w:val="13"/>
                <w:szCs w:val="13"/>
                <w:color w:val="auto"/>
                <w:vertAlign w:val="subscript"/>
              </w:rPr>
              <w:t>*</w:t>
            </w:r>
          </w:p>
        </w:tc>
        <w:tc>
          <w:tcPr>
            <w:tcW w:w="1080" w:type="dxa"/>
            <w:vAlign w:val="bottom"/>
            <w:gridSpan w:val="2"/>
          </w:tcPr>
          <w:p>
            <w:pPr>
              <w:ind w:left="20"/>
              <w:spacing w:after="0" w:line="12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80" w:type="dxa"/>
            <w:vAlign w:val="bottom"/>
            <w:gridSpan w:val="6"/>
          </w:tcPr>
          <w:p>
            <w:pPr>
              <w:ind w:left="60"/>
              <w:spacing w:after="0" w:line="80" w:lineRule="exact"/>
              <w:rPr>
                <w:sz w:val="20"/>
                <w:szCs w:val="20"/>
                <w:color w:val="auto"/>
              </w:rPr>
            </w:pPr>
            <w:r>
              <w:rPr>
                <w:rFonts w:ascii="Arial" w:cs="Arial" w:eastAsia="Arial" w:hAnsi="Arial"/>
                <w:sz w:val="9"/>
                <w:szCs w:val="9"/>
                <w:color w:val="auto"/>
              </w:rPr>
              <w:t>1. Name and Address of Reporting Person</w:t>
            </w:r>
          </w:p>
        </w:tc>
        <w:tc>
          <w:tcPr>
            <w:tcW w:w="108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2"/>
                <w:szCs w:val="2"/>
                <w:color w:val="0000EE"/>
              </w:rPr>
              <w:t>Andreessen Horowitz Fund V, L.P.</w:t>
            </w: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ind w:left="60"/>
              <w:spacing w:after="0" w:line="121" w:lineRule="exact"/>
              <w:rPr>
                <w:rFonts w:ascii="Arial" w:cs="Arial" w:eastAsia="Arial" w:hAnsi="Arial"/>
                <w:sz w:val="12"/>
                <w:szCs w:val="12"/>
                <w:b w:val="1"/>
                <w:bCs w:val="1"/>
                <w:color w:val="auto"/>
              </w:rPr>
            </w:pPr>
            <w:hyperlink r:id="rId13">
              <w:r>
                <w:rPr>
                  <w:rFonts w:ascii="Arial" w:cs="Arial" w:eastAsia="Arial" w:hAnsi="Arial"/>
                  <w:sz w:val="12"/>
                  <w:szCs w:val="12"/>
                  <w:b w:val="1"/>
                  <w:bCs w:val="1"/>
                  <w:color w:val="auto"/>
                </w:rPr>
                <w:t>Derivative</w:t>
              </w:r>
            </w:hyperlink>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rFonts w:ascii="Arial" w:cs="Arial" w:eastAsia="Arial" w:hAnsi="Arial"/>
                <w:sz w:val="12"/>
                <w:szCs w:val="12"/>
                <w:b w:val="1"/>
                <w:bCs w:val="1"/>
                <w:color w:val="auto"/>
              </w:rPr>
            </w:pPr>
            <w:hyperlink r:id="rId13">
              <w:r>
                <w:rPr>
                  <w:rFonts w:ascii="Arial" w:cs="Arial" w:eastAsia="Arial" w:hAnsi="Arial"/>
                  <w:sz w:val="12"/>
                  <w:szCs w:val="12"/>
                  <w:b w:val="1"/>
                  <w:bCs w:val="1"/>
                  <w:color w:val="auto"/>
                </w:rPr>
                <w:t>Security</w:t>
              </w:r>
            </w:hyperlink>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48" w:lineRule="exact"/>
              <w:rPr>
                <w:sz w:val="20"/>
                <w:szCs w:val="20"/>
                <w:color w:val="auto"/>
              </w:rPr>
            </w:pPr>
            <w:r>
              <w:rPr>
                <w:rFonts w:ascii="Arial" w:cs="Arial" w:eastAsia="Arial" w:hAnsi="Arial"/>
                <w:sz w:val="13"/>
                <w:szCs w:val="13"/>
                <w:color w:val="auto"/>
              </w:rPr>
              <w:t>(Last)</w:t>
            </w:r>
          </w:p>
        </w:tc>
        <w:tc>
          <w:tcPr>
            <w:tcW w:w="760" w:type="dxa"/>
            <w:vAlign w:val="bottom"/>
          </w:tcPr>
          <w:p>
            <w:pPr>
              <w:spacing w:after="0"/>
              <w:rPr>
                <w:sz w:val="12"/>
                <w:szCs w:val="12"/>
                <w:color w:val="auto"/>
              </w:rPr>
            </w:pPr>
          </w:p>
        </w:tc>
        <w:tc>
          <w:tcPr>
            <w:tcW w:w="12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(First)</w:t>
            </w:r>
          </w:p>
        </w:tc>
        <w:tc>
          <w:tcPr>
            <w:tcW w:w="1080" w:type="dxa"/>
            <w:vAlign w:val="bottom"/>
            <w:gridSpan w:val="2"/>
          </w:tcPr>
          <w:p>
            <w:pPr>
              <w:ind w:left="220"/>
              <w:spacing w:after="0" w:line="148" w:lineRule="exact"/>
              <w:rPr>
                <w:sz w:val="20"/>
                <w:szCs w:val="20"/>
                <w:color w:val="auto"/>
              </w:rPr>
            </w:pPr>
            <w:r>
              <w:rPr>
                <w:rFonts w:ascii="Arial" w:cs="Arial" w:eastAsia="Arial" w:hAnsi="Arial"/>
                <w:sz w:val="13"/>
                <w:szCs w:val="13"/>
                <w:color w:val="auto"/>
              </w:rPr>
              <w:t>(Middle)</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C/O ANDREESSEN HOROWITZ</w:t>
            </w: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80" w:type="dxa"/>
            <w:vAlign w:val="bottom"/>
            <w:gridSpan w:val="5"/>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580" w:type="dxa"/>
            <w:vAlign w:val="bottom"/>
            <w:gridSpan w:val="5"/>
            <w:vMerge w:val="continue"/>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highlight w:val="white"/>
              </w:rPr>
              <w:t>2865 SAND HILL ROAD, SUITE 101</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MENLO PARK</w:t>
            </w: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highlight w:val="white"/>
              </w:rPr>
              <w:t>CA</w:t>
            </w:r>
          </w:p>
        </w:tc>
        <w:tc>
          <w:tcPr>
            <w:tcW w:w="10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94025</w:t>
            </w: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740" w:type="dxa"/>
            <w:vAlign w:val="bottom"/>
            <w:tcBorders>
              <w:bottom w:val="single" w:sz="8" w:color="9A9A9A"/>
            </w:tcBorders>
          </w:tcPr>
          <w:p>
            <w:pPr>
              <w:spacing w:after="0"/>
              <w:rPr>
                <w:sz w:val="4"/>
                <w:szCs w:val="4"/>
                <w:color w:val="auto"/>
              </w:rPr>
            </w:pPr>
          </w:p>
        </w:tc>
        <w:tc>
          <w:tcPr>
            <w:tcW w:w="42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460" w:type="dxa"/>
            <w:vAlign w:val="bottom"/>
            <w:tcBorders>
              <w:bottom w:val="single" w:sz="8" w:color="9A9A9A"/>
            </w:tcBorders>
          </w:tcPr>
          <w:p>
            <w:pPr>
              <w:spacing w:after="0"/>
              <w:rPr>
                <w:sz w:val="4"/>
                <w:szCs w:val="4"/>
                <w:color w:val="auto"/>
              </w:rPr>
            </w:pPr>
          </w:p>
        </w:tc>
        <w:tc>
          <w:tcPr>
            <w:tcW w:w="44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vMerge w:val="restart"/>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14"/>
                <w:szCs w:val="14"/>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gridSpan w:val="2"/>
            <w:vMerge w:val="restart"/>
          </w:tcPr>
          <w:p>
            <w:pPr>
              <w:ind w:left="220"/>
              <w:spacing w:after="0"/>
              <w:rPr>
                <w:sz w:val="20"/>
                <w:szCs w:val="20"/>
                <w:color w:val="auto"/>
              </w:rPr>
            </w:pPr>
            <w:r>
              <w:rPr>
                <w:rFonts w:ascii="Arial" w:cs="Arial" w:eastAsia="Arial" w:hAnsi="Arial"/>
                <w:sz w:val="13"/>
                <w:szCs w:val="13"/>
                <w:color w:val="auto"/>
              </w:rPr>
              <w:t>(Zip)</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3"/>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vMerge w:val="continue"/>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1200" w:type="dxa"/>
            <w:vAlign w:val="bottom"/>
            <w:tcBorders>
              <w:bottom w:val="single" w:sz="8" w:color="808080"/>
            </w:tcBorders>
            <w:gridSpan w:val="3"/>
            <w:vMerge w:val="continue"/>
          </w:tcPr>
          <w:p>
            <w:pPr>
              <w:spacing w:after="0"/>
              <w:rPr>
                <w:sz w:val="3"/>
                <w:szCs w:val="3"/>
                <w:color w:val="auto"/>
              </w:rPr>
            </w:pPr>
          </w:p>
        </w:tc>
        <w:tc>
          <w:tcPr>
            <w:tcW w:w="1080" w:type="dxa"/>
            <w:vAlign w:val="bottom"/>
            <w:tcBorders>
              <w:bottom w:val="single" w:sz="8" w:color="808080"/>
            </w:tcBorders>
            <w:gridSpan w:val="2"/>
            <w:vMerge w:val="continue"/>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120" w:type="dxa"/>
            <w:vAlign w:val="bottom"/>
            <w:tcBorders>
              <w:bottom w:val="single" w:sz="8" w:color="2C2C2C"/>
            </w:tcBorders>
            <w:gridSpan w:val="3"/>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Andreessen Horowitz Fund V-A, L.P.</w:t>
              </w:r>
            </w:hyperlink>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22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94025</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22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2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Andreessen Horowitz Fund V-B, L.P.</w:t>
              </w:r>
            </w:hyperlink>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22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94025</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22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2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Andreessen Horowitz Fund V-Q, L.P.</w:t>
              </w:r>
            </w:hyperlink>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22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94025</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22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2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5"/>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AH Equity Partners V, L.L.C.</w:t>
              </w:r>
            </w:hyperlink>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22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94025</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22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2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5"/>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AH Parallel Fund V, L.P.</w:t>
              </w:r>
            </w:hyperlink>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22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ANDREESSEN HOROWITZ</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2865 SAND HILL ROAD, SUITE 101</w:t>
      </w:r>
    </w:p>
    <w:p>
      <w:pPr>
        <w:sectPr>
          <w:pgSz w:w="11900" w:h="16838" w:orient="portrait"/>
          <w:cols w:equalWidth="0" w:num="1">
            <w:col w:w="11080"/>
          </w:cols>
          <w:pgMar w:left="460" w:top="73" w:right="35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5"/>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3"/>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4"/>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AH Parallel Fund V-A,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3"/>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3"/>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4"/>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AH Parallel Fund V-B,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3"/>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3"/>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4"/>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AH Parallel Fund V-Q,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3"/>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3"/>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8651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2809240" cy="7865110"/>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5">
        <w:r>
          <w:rPr>
            <w:rFonts w:ascii="Times New Roman" w:cs="Times New Roman" w:eastAsia="Times New Roman" w:hAnsi="Times New Roman"/>
            <w:sz w:val="21"/>
            <w:szCs w:val="21"/>
            <w:u w:val="single" w:color="auto"/>
            <w:color w:val="0000EE"/>
          </w:rPr>
          <w:t>AH Equity Partners V (Parallel),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140"/>
              <w:spacing w:after="0"/>
              <w:rPr>
                <w:sz w:val="20"/>
                <w:szCs w:val="20"/>
                <w:color w:val="auto"/>
              </w:rPr>
            </w:pPr>
            <w:r>
              <w:rPr>
                <w:rFonts w:ascii="Arial" w:cs="Arial" w:eastAsia="Arial" w:hAnsi="Arial"/>
                <w:sz w:val="13"/>
                <w:szCs w:val="13"/>
                <w:color w:val="auto"/>
              </w:rPr>
              <w:t>(First)</w:t>
            </w:r>
          </w:p>
        </w:tc>
        <w:tc>
          <w:tcPr>
            <w:tcW w:w="140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140"/>
              <w:spacing w:after="0"/>
              <w:rPr>
                <w:sz w:val="20"/>
                <w:szCs w:val="20"/>
                <w:color w:val="auto"/>
              </w:rPr>
            </w:pPr>
            <w:r>
              <w:rPr>
                <w:rFonts w:ascii="Arial" w:cs="Arial" w:eastAsia="Arial" w:hAnsi="Arial"/>
                <w:sz w:val="13"/>
                <w:szCs w:val="13"/>
                <w:color w:val="auto"/>
              </w:rPr>
              <w:t>(State)</w:t>
            </w:r>
          </w:p>
        </w:tc>
        <w:tc>
          <w:tcPr>
            <w:tcW w:w="140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$17.80 to $18.21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firstLine="7"/>
        <w:spacing w:after="0" w:line="24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II, L.P. ("AH LSV Fund II"), for itself and as nominee for Andreessen Horowitz LSV Fund II-B, L.P. and Andreessen Horowitz LSV Fund II-Q, L.P. (collectively, the "AH LSV Fund II Entities"). AH Equity Partners LSV II, L.L.C. ("AH EP LSV II "), the general partner of AH LSV Fund II, may be deemed to have sole voting and dispositive power over the shares held by the AH LSV Fund II Entities. Marc Andreessen and Benjamin Horowitz are the managing members of AH EP LSV II and may be deemed to have shared voting and dispositive power over the shares held by the AH LSV Fund II Entities. Each of the Reporting Persons disclaims the existence of a "group" and disclaims beneficial ownership of the securities held by the AH LSV Fund II Entities and this report shall not be deemed an admission that such person is the beneficial owner of such securities, except to the extent of such person's pecuniary interest therein, if any.</w:t>
      </w:r>
    </w:p>
    <w:p>
      <w:pPr>
        <w:spacing w:after="0" w:line="179" w:lineRule="exact"/>
        <w:rPr>
          <w:rFonts w:ascii="Times New Roman" w:cs="Times New Roman" w:eastAsia="Times New Roman" w:hAnsi="Times New Roman"/>
          <w:sz w:val="13"/>
          <w:szCs w:val="13"/>
          <w:color w:val="008000"/>
        </w:rPr>
      </w:pPr>
    </w:p>
    <w:p>
      <w:pPr>
        <w:ind w:left="20" w:right="60" w:firstLine="7"/>
        <w:spacing w:after="0" w:line="24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 L.P. ("AH LSV Fund I"), for itself and as nominee for Andreessen Horowitz LSV Fund I-B, L.P. and Andreessen Horowitz LSV Fund I-Q, L.P. (collectively, the "AH LSV Fund I Entities"). AH Equity Partners LSV I, L.L.C. ("AH EP LSV I"), the general partner of AH LSV Fund I, may be deemed to have sole voting and dispositive power over the shares held by the AH LSV Fund I Entities. Marc Andreessen and Benjamin Horowitz are the managing members of AH EP LSV I and may be deemed to have shared voting and dispositive power over the shares held by the AH LSV Fund I Entities. Each of the Reporting Persons disclaims the existence of a "group" and disclaims beneficial ownership of the securities held by the AH LSV Fund I Entities and this report shall not be deemed an admission that such person is the beneficial owner of such securities, except to the extent of such person's pecuniary interest therein, if any.</w:t>
      </w:r>
    </w:p>
    <w:p>
      <w:pPr>
        <w:spacing w:after="0" w:line="179"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III, L.P. ("AH LSV Fund III"), for itself and as nominee for Andreessen Horowitz LSV Fund III-B, L.P., AH 2022 Annual Fund, L.P., AH 2022 Annual Fund-B, L.P. and AH 2022 Annual Fund-QC, L.P. (collectively, the "AH LSV Fund III Entities"). AH Equity Partners LSV III, L.L.C. ("AH EP LSV III"), the general partner of AH LSV Fund III, may be deemed to have sole voting and dispositive power over the shares held by the AH LSV Fund III Entities.</w:t>
      </w:r>
    </w:p>
    <w:p>
      <w:pPr>
        <w:spacing w:after="0" w:line="20" w:lineRule="exact"/>
        <w:rPr>
          <w:rFonts w:ascii="Times New Roman" w:cs="Times New Roman" w:eastAsia="Times New Roman" w:hAnsi="Times New Roman"/>
          <w:sz w:val="13"/>
          <w:szCs w:val="13"/>
          <w:color w:val="008000"/>
        </w:rPr>
      </w:pPr>
    </w:p>
    <w:p>
      <w:pPr>
        <w:jc w:val="both"/>
        <w:ind w:left="20" w:right="1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4) Marc Andreessen and Benjamin Horowitz are the managing members of AH EP LSV III and may be deemed to have shared voting and dispositive power over the shares held by the AH LSV Fund III Entities. Each of the Reporting Persons disclaims the existence of a "group" and disclaims beneficial ownership of the securities held by the AH LSV Fund III Entities and this report shall not be deemed an admission that such person is the beneficial owner of such securities, except to the extent of such person's pecuniary interest therein, if any.</w:t>
      </w:r>
    </w:p>
    <w:p>
      <w:pPr>
        <w:spacing w:after="0" w:line="20" w:lineRule="exact"/>
        <w:rPr>
          <w:rFonts w:ascii="Times New Roman" w:cs="Times New Roman" w:eastAsia="Times New Roman" w:hAnsi="Times New Roman"/>
          <w:sz w:val="13"/>
          <w:szCs w:val="13"/>
          <w:color w:val="008000"/>
        </w:rPr>
      </w:pPr>
    </w:p>
    <w:p>
      <w:pPr>
        <w:jc w:val="both"/>
        <w:ind w:left="20" w:right="28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Fund V, L.P. ("AH Fund V"), for itself and as nominee for Andreessen Horowitz Fund V-A, L.P., Andreessen Horowitz Fund V-B, L.P. and Andreessen Horowitz Fund V-Q, L.P. (collectively, the "AH Fund V Entities"). AH Equity Partners V, L.L.C. ("AH EP V"), the general partner of AH Fund V, may be deemed to have sole voting and dispositive power over the shares held by the AH Fund V Entities. Marc Andreessen and Benjamin Horowitz are the managing members of AH EP V and may be deemed to have shared voting and</w:t>
      </w:r>
    </w:p>
    <w:p>
      <w:pPr>
        <w:sectPr>
          <w:pgSz w:w="11900" w:h="16838" w:orient="portrait"/>
          <w:cols w:equalWidth="0" w:num="1">
            <w:col w:w="10900"/>
          </w:cols>
          <w:pgMar w:left="480" w:top="260" w:right="519" w:bottom="0" w:gutter="0" w:footer="0" w:header="0"/>
        </w:sectPr>
      </w:pPr>
    </w:p>
    <w:bookmarkStart w:id="3" w:name="page4"/>
    <w:bookmarkEnd w:id="3"/>
    <w:p>
      <w:pPr>
        <w:ind w:right="20"/>
        <w:spacing w:after="0" w:line="272" w:lineRule="auto"/>
        <w:rPr>
          <w:sz w:val="20"/>
          <w:szCs w:val="20"/>
          <w:color w:val="auto"/>
        </w:rPr>
      </w:pPr>
      <w:r>
        <w:rPr>
          <w:rFonts w:ascii="Times New Roman" w:cs="Times New Roman" w:eastAsia="Times New Roman" w:hAnsi="Times New Roman"/>
          <w:sz w:val="13"/>
          <w:szCs w:val="13"/>
          <w:color w:val="008000"/>
        </w:rPr>
        <w:t>dispositive power over the shares held by the AH Fund V Entities. Each of the Reporting Persons disclaims the existence of a "group" and disclaims beneficial ownership of the securities held by the AH Fund V Entities and this report shall not be deemed an admission that such person is the beneficial owner of such securities, except to the extent of such person's pecuniary interest therein, if any.</w:t>
      </w:r>
    </w:p>
    <w:p>
      <w:pPr>
        <w:spacing w:after="0" w:line="8" w:lineRule="exact"/>
        <w:rPr>
          <w:sz w:val="20"/>
          <w:szCs w:val="20"/>
          <w:color w:val="auto"/>
        </w:rPr>
      </w:pPr>
    </w:p>
    <w:p>
      <w:pPr>
        <w:ind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CLF Partners, LP ("CLF"). AH EP V, the general partner of CLF, may be deemed to have sole voting and dispositive power over the shares held by CLF. Marc Andreessen and Benjamin Horowitz are the managing members of AH EP V and may be deemed to have shared voting and dispositive power over the shares held by CLF. Each of the Reporting Persons disclaims the existence of a "group" and disclaims beneficial ownership of the securities held by CLF and this report shall not be deemed an admission that such person is the beneficial owner of such securities, except to the extent of such person's pecuniary interest therein, if any.</w:t>
      </w:r>
    </w:p>
    <w:p>
      <w:pPr>
        <w:spacing w:after="0" w:line="24" w:lineRule="exact"/>
        <w:rPr>
          <w:rFonts w:ascii="Times New Roman" w:cs="Times New Roman" w:eastAsia="Times New Roman" w:hAnsi="Times New Roman"/>
          <w:sz w:val="13"/>
          <w:szCs w:val="13"/>
          <w:color w:val="008000"/>
        </w:rPr>
      </w:pPr>
    </w:p>
    <w:p>
      <w:pPr>
        <w:jc w:val="both"/>
        <w:ind w:right="40"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AH Parallel Fund V, L.P. ("AH Parallel V"), for itself and as nominee for AH Parallel Fund V-A, L.P., AH Parallel Fund V-B, L.P., and AH Parallel Fund V-Q, L.P. (collectively, the "AH Parallel Fund V Entities"). AH Equity Partners V (Parallel), L.L.C. ("AH EP V Parallel"), the general partner of AH Parallel V, may be deemed to have sole voting and dispositive power over the shares held by the AH Parallel Fund V Entities. Marc Andreessen and Benjamin Horowitz are the managing members of AH EP V Parallel and may be deemed to have shared voting and dispositive power over the shares held by the AH Parallel Fund V Entities.</w:t>
      </w:r>
    </w:p>
    <w:p>
      <w:pPr>
        <w:spacing w:after="0" w:line="24" w:lineRule="exact"/>
        <w:rPr>
          <w:rFonts w:ascii="Times New Roman" w:cs="Times New Roman" w:eastAsia="Times New Roman" w:hAnsi="Times New Roman"/>
          <w:sz w:val="13"/>
          <w:szCs w:val="13"/>
          <w:color w:val="008000"/>
        </w:rPr>
      </w:pPr>
    </w:p>
    <w:p>
      <w:pPr>
        <w:ind w:right="10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8) Each of the Reporting Persons disclaims the existence of a "group" and disclaims beneficial ownership of the securities held by the AH Parallel Fund V Entities and this report shall not be deemed an admission that such person is the beneficial owner of such securities, except to the extent of such person's pecuniary interest therein, if any.</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3"/>
          <w:szCs w:val="13"/>
          <w:color w:val="008000"/>
        </w:rPr>
        <w:t>This Form 4 is the third of three Forms 4 filed relating to the same event. Combined, the three reports report the holdings for the following Reporting Persons: Andreessen Horowitz LSV Fund I, L.P., Andreessen Horowitz LSV Fund I-B, L.P., Andreessen Horowitz LSV Fund I-Q, L.P., AH Equity Partners LSV I, L.L.C., Andreessen Horowitz LSV Fund II, L.P., Andreessen Horowitz LSV Fund II-B, L.P., Andreessen Horowitz LSV Fund II-Q, L.P., AH Equity Partners LSV II, L.L.C., Andreessen Horowitz LSV Fund III, L.P., Andreessen Horowitz LSV Fund III-B, L.P., AH Equity Partners LSV III, L.L.C., AH 2022 Annual Fund, L.P., AH 2022 Annual Fund-B, L.P., AH 2022 Annual Fund-QC, L.P., AH Equity Partners 2022 Annual Fund, L.L.C., Andreessen Horowitz Fund V, L.P., Andreessen Horowitz Fund V-A, L.P., Andreessen Horowitz Fund V-B, L.P., Andreessen Horowitz Fund V-Q, L.P., CLF Partners, LP, AH Equity Partners V, L.L.C., AH Parallel Fund V, L.P., AH Parallel Fund V-A, L.P., AH Parallel Fund V-B, L.P., AH Parallel Fund V-Q, L.P., AH Equity Partners V (Parallel), L.L.C. and Marc Andreessen. This Form 4 has been split into three filings because there are more than 10 reporting persons in total, and the SEC's EDGAR filing system limits a single Form 4 to a maximum of 10 reporting persons.</w:t>
      </w:r>
    </w:p>
    <w:p>
      <w:pPr>
        <w:sectPr>
          <w:pgSz w:w="11900" w:h="16838" w:orient="portrait"/>
          <w:cols w:equalWidth="0" w:num="1">
            <w:col w:w="10800"/>
          </w:cols>
          <w:pgMar w:left="500" w:top="127" w:right="599" w:bottom="1113" w:gutter="0" w:footer="0" w:header="0"/>
        </w:sectPr>
      </w:pPr>
    </w:p>
    <w:p>
      <w:pPr>
        <w:spacing w:after="0" w:line="5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Fund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6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AH Equity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96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9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/s/ Phil Hathaway,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99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2299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829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Fund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430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963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9963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V,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92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65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7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Fund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430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99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V,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92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65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7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Fund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430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Q,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963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9963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V,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92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65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7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Equity Partners 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8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Phil Hathaway,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99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2299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829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Parallel Fund V,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78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2782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Equity Partners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4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(Parallel),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47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65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7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Parallel Fund V-A,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426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AH Equity Partners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(Parallel),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47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65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7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Parallel Fund V-B,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363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AH Equity Partners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(Parallel),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47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65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7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Parallel Fund V-Q,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426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AH Equity Partners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(Parallel),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47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65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7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Equity Partners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47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(Parallel), L.L.C.,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8660" w:space="80"/>
            <w:col w:w="2060"/>
          </w:cols>
          <w:pgMar w:left="500" w:top="127" w:right="599" w:bottom="1113"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0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27" w:right="599" w:bottom="11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7"/>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24"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13" Type="http://schemas.openxmlformats.org/officeDocument/2006/relationships/hyperlink" Target="http://www.sec.gov/cgi-bin/browse-edgar?action=getcompany&amp;CIK=0001675239" TargetMode="External"/><Relationship Id="rId14" Type="http://schemas.openxmlformats.org/officeDocument/2006/relationships/hyperlink" Target="http://www.sec.gov/cgi-bin/browse-edgar?action=getcompany&amp;CIK=0001639723" TargetMode="External"/><Relationship Id="rId16" Type="http://schemas.openxmlformats.org/officeDocument/2006/relationships/hyperlink" Target="http://www.sec.gov/cgi-bin/browse-edgar?action=getcompany&amp;CIK=0001675241" TargetMode="External"/><Relationship Id="rId17" Type="http://schemas.openxmlformats.org/officeDocument/2006/relationships/hyperlink" Target="http://www.sec.gov/cgi-bin/browse-edgar?action=getcompany&amp;CIK=0001675242" TargetMode="External"/><Relationship Id="rId18" Type="http://schemas.openxmlformats.org/officeDocument/2006/relationships/hyperlink" Target="http://www.sec.gov/cgi-bin/browse-edgar?action=getcompany&amp;CIK=0001675231" TargetMode="External"/><Relationship Id="rId19" Type="http://schemas.openxmlformats.org/officeDocument/2006/relationships/hyperlink" Target="http://www.sec.gov/cgi-bin/browse-edgar?action=getcompany&amp;CIK=0001675226" TargetMode="External"/><Relationship Id="rId20" Type="http://schemas.openxmlformats.org/officeDocument/2006/relationships/hyperlink" Target="http://www.sec.gov/cgi-bin/browse-edgar?action=getcompany&amp;CIK=0001675240" TargetMode="External"/><Relationship Id="rId21" Type="http://schemas.openxmlformats.org/officeDocument/2006/relationships/hyperlink" Target="http://www.sec.gov/cgi-bin/browse-edgar?action=getcompany&amp;CIK=0001675233" TargetMode="External"/><Relationship Id="rId22" Type="http://schemas.openxmlformats.org/officeDocument/2006/relationships/hyperlink" Target="http://www.sec.gov/cgi-bin/browse-edgar?action=getcompany&amp;CIK=0001675234" TargetMode="External"/><Relationship Id="rId23" Type="http://schemas.openxmlformats.org/officeDocument/2006/relationships/hyperlink" Target="http://www.sec.gov/cgi-bin/browse-edgar?action=getcompany&amp;CIK=0001675235" TargetMode="External"/><Relationship Id="rId25" Type="http://schemas.openxmlformats.org/officeDocument/2006/relationships/hyperlink" Target="http://www.sec.gov/cgi-bin/browse-edgar?action=getcompany&amp;CIK=00016752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2026-01-09T18:42:13Z</dcterms:created>
  <dcterms:modified xsi:type="dcterms:W3CDTF">2026-01-09T18:42:13Z</dcterms:modified>
</cp:coreProperties>
</file>