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92026_090719.xml.htm"/>
      <w:bookmarkStart w:id="1" w:name="ksform407092026_0907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Lightspeed Venture Partners 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15"/>
        <w:gridCol w:w="919"/>
        <w:gridCol w:w="792"/>
        <w:gridCol w:w="610"/>
        <w:gridCol w:w="328"/>
        <w:gridCol w:w="1147"/>
        <w:gridCol w:w="384"/>
        <w:gridCol w:w="783"/>
        <w:gridCol w:w="1312"/>
        <w:gridCol w:w="921"/>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2,979,102</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16,881,575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X, L.P.</w:t>
            </w:r>
            <w:r>
              <w:rPr>
                <w:rFonts w:ascii="Times;serif" w:hAnsi="Times;serif"/>
                <w:color w:val="008000"/>
                <w:position w:val="7"/>
                <w:sz w:val="16"/>
                <w:sz w:val="20"/>
                <w:shd w:fill="FFFFFF" w:val="clear"/>
              </w:rPr>
              <w:t>(2)</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192,885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Affiliates X, L.P.</w:t>
            </w:r>
            <w:r>
              <w:rPr>
                <w:rFonts w:ascii="Times;serif" w:hAnsi="Times;serif"/>
                <w:color w:val="008000"/>
                <w:position w:val="7"/>
                <w:sz w:val="16"/>
                <w:sz w:val="20"/>
                <w:shd w:fill="FFFFFF" w:val="clear"/>
              </w:rPr>
              <w:t>(4)</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1,894,598</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10,736,057</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Select II, L.P.</w:t>
            </w:r>
            <w:r>
              <w:rPr>
                <w:rFonts w:ascii="Times;serif" w:hAnsi="Times;serif"/>
                <w:color w:val="008000"/>
                <w:position w:val="7"/>
                <w:sz w:val="16"/>
                <w:sz w:val="20"/>
                <w:shd w:fill="FFFFFF" w:val="clear"/>
              </w:rPr>
              <w:t>(6)</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X, L.P.</w:t>
            </w:r>
            <w:r>
              <w:rPr>
                <w:rFonts w:ascii="Times;serif" w:hAnsi="Times;serif"/>
                <w:color w:val="008000"/>
                <w:position w:val="7"/>
                <w:sz w:val="16"/>
                <w:sz w:val="20"/>
                <w:shd w:fill="FFFFFF" w:val="clear"/>
              </w:rPr>
              <w:t>(8)</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X, L.P.</w:t>
            </w:r>
            <w:r>
              <w:rPr>
                <w:rFonts w:ascii="Times;serif" w:hAnsi="Times;serif"/>
                <w:color w:val="008000"/>
                <w:position w:val="7"/>
                <w:sz w:val="16"/>
                <w:sz w:val="20"/>
                <w:shd w:fill="FFFFFF" w:val="clear"/>
              </w:rPr>
              <w:t>(8)</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401,655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401,655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Select II, L.P.</w:t>
            </w:r>
            <w:r>
              <w:rPr>
                <w:rFonts w:ascii="Times;serif" w:hAnsi="Times;serif"/>
                <w:color w:val="008000"/>
                <w:position w:val="7"/>
                <w:sz w:val="16"/>
                <w:sz w:val="20"/>
                <w:shd w:fill="FFFFFF" w:val="clear"/>
              </w:rPr>
              <w:t>(11)</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401,655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Select II, L.P.</w:t>
            </w:r>
            <w:r>
              <w:rPr>
                <w:rFonts w:ascii="Times;serif" w:hAnsi="Times;serif"/>
                <w:color w:val="008000"/>
                <w:position w:val="7"/>
                <w:sz w:val="16"/>
                <w:sz w:val="20"/>
                <w:shd w:fill="FFFFFF" w:val="clear"/>
              </w:rPr>
              <w:t>(11)</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(13)</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8,983</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8,983</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(14)</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8,983</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25.36</w:t>
            </w:r>
            <w:r>
              <w:rPr>
                <w:rFonts w:ascii="Times;serif" w:hAnsi="Times;serif"/>
                <w:color w:val="008000"/>
                <w:position w:val="7"/>
                <w:sz w:val="16"/>
                <w:sz w:val="20"/>
                <w:shd w:fill="FFFFFF" w:val="clear"/>
              </w:rPr>
              <w:t>(15)</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(14)</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2,280,989</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Opportunity Fund, L.P.</w:t>
            </w:r>
            <w:r>
              <w:rPr>
                <w:rFonts w:ascii="Times;serif" w:hAnsi="Times;serif"/>
                <w:color w:val="008000"/>
                <w:position w:val="7"/>
                <w:sz w:val="16"/>
                <w:sz w:val="20"/>
                <w:shd w:fill="FFFFFF" w:val="clear"/>
              </w:rPr>
              <w:t>(16)</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587,965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Strategic Partners I L.P.</w:t>
            </w:r>
            <w:r>
              <w:rPr>
                <w:rFonts w:ascii="Times;serif" w:hAnsi="Times;serif"/>
                <w:color w:val="008000"/>
                <w:position w:val="7"/>
                <w:sz w:val="16"/>
                <w:sz w:val="20"/>
                <w:shd w:fill="FFFFFF" w:val="clear"/>
              </w:rPr>
              <w:t>(17)</w:t>
            </w:r>
            <w:r>
              <w:rPr/>
              <w:t xml:space="preserve"> </w:t>
            </w:r>
          </w:p>
        </w:tc>
      </w:tr>
      <w:tr>
        <w:trPr/>
        <w:tc>
          <w:tcPr>
            <w:tcW w:w="16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6,134,518</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Select III, L.P.</w:t>
            </w:r>
            <w:r>
              <w:rPr>
                <w:rFonts w:ascii="Times;serif" w:hAnsi="Times;serif"/>
                <w:color w:val="008000"/>
                <w:position w:val="7"/>
                <w:sz w:val="16"/>
                <w:sz w:val="20"/>
                <w:shd w:fill="FFFFFF" w:val="clear"/>
              </w:rPr>
              <w:t>(18)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Lightspeed Venture Partners 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Lightspeed Affiliates 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Lightspeed General Partner 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Lightspeed Ultimate General Partner X,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Lightspeed Opportunity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Lightspeed General Partner Opportunity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Lightspeed Ultimate General Partner Opportunity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Lightspeed Strategic Partners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Lightspeed Strategic Partners General Partner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Lightspeed Strategic Partners Ultimate General Partner 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 rata, in-kind distribution, and not a purchase or sale of securities, by Lightspeed Venture Partners X, L.P. ("Lightspeed X")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pro rata, in-kind distribution, and not a purchase or sale of securities, by Lightspeed Affiliates X, L.P. ("Affiliates X")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Affiliates X. LGP X is the general partner of Affiliates X. LUGP X is the general partner of LGP X. Each of LGP X and LUGP X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pro rata, in-kind distribution, and not a purchase or sale of securities, by Lightspeed Venture Partners Select II, L.P. ("Lightspeed Select II")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receipt of shares in the distribution in kind described in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are held by LGP X. LUGP X is the general partner of LGP X. LUGP X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a pro rata, in-kind distribution, and not a purchase or sale of securities, by LGP X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receipt of shares in the distribution in kind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LGP Select II. LUGP Select II is the general partner of LGP Select II. LUGP Select II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a pro rata, in-kind distribution, and not a purchase or sale of securities, by LGP Select II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receipt of shares in the distributions in kind described in footnotes (9) and (12).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shares held by Lightspeed Management Company,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$25.27 to $25.53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first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Lightspeed Ultimate General Partner Select III, Ltd. and Lightspeed Management Company, L.L.C. This Form 4 has been split into two filings because there are more than 10 reporting persons in total, and the SEC's EDGAR filing system limits a single Form 4 to a maximum of 10 reporting persons.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Venture Partners X, L.P., By: Lightspeed General Partner X, L.P., its General Partner, By: Lightspeed Ultimate General Partner X,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Affiliates X, L.P., By: Lightspeed General Partner X, L.P., its General Partner, By: Lightspeed Ultimate General Partner X,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X, L.P., By: Lightspeed Ultimate General Partner X,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X,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Opportunity Fund, L.P., By: Lightspeed General Partner Opportunity Fund, L.P., its General Partner, By: Lightspeed Ultimate General Partner Opportunity Fund,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Opportunity Fund, L.P., By: Lightspeed Ultimate General Partner Opportunity Fund,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Opportunity Fund,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Strategic Partners I L.P., By: Lightspeed Strategic Partners General Partner I L.P., its General Partner, By: Lightspeed Strategic Partners Ultimate General Partner I L.L.C., its General Partner, By /s/ Ravi Mhatre,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Strategic Partners General Partner I L.P., By: Lightspeed Strategic Partners Ultimate General Partner I L.L.C., its General Partner, By /s/ Ravi Mhatre,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Strategic Partners Ultimate General Partner I L.L.C., By /s/ Ravi Mhatre,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2573"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2573" TargetMode="External"/><Relationship Id="rId9" Type="http://schemas.openxmlformats.org/officeDocument/2006/relationships/hyperlink" Target="http://www.sec.gov/cgi-bin/browse-edgar?action=getcompany&amp;CIK=0001617751" TargetMode="External"/><Relationship Id="rId10" Type="http://schemas.openxmlformats.org/officeDocument/2006/relationships/hyperlink" Target="http://www.sec.gov/cgi-bin/browse-edgar?action=getcompany&amp;CIK=0001700550" TargetMode="External"/><Relationship Id="rId11" Type="http://schemas.openxmlformats.org/officeDocument/2006/relationships/hyperlink" Target="http://www.sec.gov/cgi-bin/browse-edgar?action=getcompany&amp;CIK=0001700549" TargetMode="External"/><Relationship Id="rId12" Type="http://schemas.openxmlformats.org/officeDocument/2006/relationships/hyperlink" Target="http://www.sec.gov/cgi-bin/browse-edgar?action=getcompany&amp;CIK=0001780948" TargetMode="External"/><Relationship Id="rId13" Type="http://schemas.openxmlformats.org/officeDocument/2006/relationships/hyperlink" Target="http://www.sec.gov/cgi-bin/browse-edgar?action=getcompany&amp;CIK=0001980478" TargetMode="External"/><Relationship Id="rId14" Type="http://schemas.openxmlformats.org/officeDocument/2006/relationships/hyperlink" Target="http://www.sec.gov/cgi-bin/browse-edgar?action=getcompany&amp;CIK=0001980477" TargetMode="External"/><Relationship Id="rId15" Type="http://schemas.openxmlformats.org/officeDocument/2006/relationships/hyperlink" Target="http://www.sec.gov/cgi-bin/browse-edgar?action=getcompany&amp;CIK=0001830973" TargetMode="External"/><Relationship Id="rId16" Type="http://schemas.openxmlformats.org/officeDocument/2006/relationships/hyperlink" Target="http://www.sec.gov/cgi-bin/browse-edgar?action=getcompany&amp;CIK=0001978187" TargetMode="External"/><Relationship Id="rId17" Type="http://schemas.openxmlformats.org/officeDocument/2006/relationships/hyperlink" Target="http://www.sec.gov/cgi-bin/browse-edgar?action=getcompany&amp;CIK=0001978866"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2176</Words>
  <Characters>12053</Characters>
  <CharactersWithSpaces>13945</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