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00"/>
          </w:cols>
          <w:pgMar w:left="460" w:top="219" w:right="459" w:bottom="225"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32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Lightspeed Venture Partners X, L.P.</w:t>
              </w:r>
            </w:hyperlink>
          </w:p>
        </w:tc>
        <w:tc>
          <w:tcPr>
            <w:tcW w:w="80" w:type="dxa"/>
            <w:vAlign w:val="bottom"/>
          </w:tcPr>
          <w:p>
            <w:pPr>
              <w:spacing w:after="0"/>
              <w:rPr>
                <w:sz w:val="9"/>
                <w:szCs w:val="9"/>
                <w:color w:val="auto"/>
              </w:rPr>
            </w:pPr>
          </w:p>
        </w:tc>
        <w:tc>
          <w:tcPr>
            <w:tcW w:w="190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40" w:type="dxa"/>
            <w:vAlign w:val="bottom"/>
            <w:gridSpan w:val="2"/>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2"/>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400"/>
              <w:spacing w:after="0"/>
              <w:rPr>
                <w:sz w:val="20"/>
                <w:szCs w:val="20"/>
                <w:color w:val="auto"/>
              </w:rPr>
            </w:pPr>
            <w:r>
              <w:rPr>
                <w:rFonts w:ascii="Arial" w:cs="Arial" w:eastAsia="Arial" w:hAnsi="Arial"/>
                <w:sz w:val="13"/>
                <w:szCs w:val="13"/>
                <w:color w:val="auto"/>
              </w:rPr>
              <w:t>(First)</w:t>
            </w:r>
          </w:p>
        </w:tc>
        <w:tc>
          <w:tcPr>
            <w:tcW w:w="1760" w:type="dxa"/>
            <w:vAlign w:val="bottom"/>
            <w:gridSpan w:val="3"/>
          </w:tcPr>
          <w:p>
            <w:pPr>
              <w:ind w:left="4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20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ind w:left="3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6"/>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6"/>
            <w:vMerge w:val="continue"/>
          </w:tcPr>
          <w:p>
            <w:pPr>
              <w:spacing w:after="0"/>
              <w:rPr>
                <w:sz w:val="9"/>
                <w:szCs w:val="9"/>
                <w:color w:val="auto"/>
              </w:rPr>
            </w:pPr>
          </w:p>
        </w:tc>
        <w:tc>
          <w:tcPr>
            <w:tcW w:w="33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gridSpan w:val="5"/>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100" w:type="dxa"/>
            <w:vAlign w:val="bottom"/>
          </w:tcPr>
          <w:p>
            <w:pPr>
              <w:ind w:left="48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5"/>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ind w:left="3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400"/>
              <w:spacing w:after="0"/>
              <w:rPr>
                <w:sz w:val="20"/>
                <w:szCs w:val="20"/>
                <w:color w:val="auto"/>
              </w:rPr>
            </w:pPr>
            <w:r>
              <w:rPr>
                <w:rFonts w:ascii="Arial" w:cs="Arial" w:eastAsia="Arial" w:hAnsi="Arial"/>
                <w:sz w:val="13"/>
                <w:szCs w:val="13"/>
                <w:color w:val="auto"/>
              </w:rPr>
              <w:t>(State)</w:t>
            </w:r>
          </w:p>
        </w:tc>
        <w:tc>
          <w:tcPr>
            <w:tcW w:w="1760" w:type="dxa"/>
            <w:vAlign w:val="bottom"/>
            <w:gridSpan w:val="3"/>
          </w:tcPr>
          <w:p>
            <w:pPr>
              <w:ind w:left="4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4180" w:type="dxa"/>
            <w:vAlign w:val="bottom"/>
            <w:tcBorders>
              <w:bottom w:val="single" w:sz="8" w:color="2C2C2C"/>
            </w:tcBorders>
            <w:gridSpan w:val="7"/>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12"/>
          </w:tcPr>
          <w:p>
            <w:pPr>
              <w:ind w:left="1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3"/>
          </w:tcPr>
          <w:p>
            <w:pPr>
              <w:jc w:val="center"/>
              <w:ind w:left="66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8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8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80" w:type="dxa"/>
            <w:vAlign w:val="bottom"/>
          </w:tcPr>
          <w:p>
            <w:pPr>
              <w:spacing w:after="0"/>
              <w:rPr>
                <w:sz w:val="13"/>
                <w:szCs w:val="13"/>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3"/>
                <w:szCs w:val="13"/>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gridSpan w:val="2"/>
          </w:tcPr>
          <w:p>
            <w:pPr>
              <w:jc w:val="center"/>
              <w:ind w:left="742"/>
              <w:spacing w:after="0"/>
              <w:rPr>
                <w:sz w:val="20"/>
                <w:szCs w:val="20"/>
                <w:color w:val="auto"/>
              </w:rPr>
            </w:pPr>
            <w:r>
              <w:rPr>
                <w:rFonts w:ascii="Times New Roman" w:cs="Times New Roman" w:eastAsia="Times New Roman" w:hAnsi="Times New Roman"/>
                <w:sz w:val="17"/>
                <w:szCs w:val="17"/>
                <w:color w:val="0000FF"/>
              </w:rPr>
              <w:t>06/11/2026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78"/>
              <w:spacing w:after="0" w:line="213" w:lineRule="exact"/>
              <w:rPr>
                <w:sz w:val="20"/>
                <w:szCs w:val="20"/>
                <w:color w:val="auto"/>
              </w:rPr>
            </w:pPr>
            <w:r>
              <w:rPr>
                <w:rFonts w:ascii="Times New Roman" w:cs="Times New Roman" w:eastAsia="Times New Roman" w:hAnsi="Times New Roman"/>
                <w:sz w:val="24"/>
                <w:szCs w:val="24"/>
                <w:color w:val="0000FF"/>
                <w:w w:val="94"/>
                <w:vertAlign w:val="subscript"/>
              </w:rPr>
              <w:t>J</w:t>
            </w:r>
            <w:r>
              <w:rPr>
                <w:rFonts w:ascii="Times New Roman" w:cs="Times New Roman" w:eastAsia="Times New Roman" w:hAnsi="Times New Roman"/>
                <w:sz w:val="11"/>
                <w:szCs w:val="11"/>
                <w:color w:val="008000"/>
                <w:w w:val="94"/>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3,504,825</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40" w:type="dxa"/>
            <w:vAlign w:val="bottom"/>
          </w:tcPr>
          <w:p>
            <w:pPr>
              <w:jc w:val="center"/>
              <w:ind w:left="23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19,860,677</w:t>
            </w:r>
          </w:p>
        </w:tc>
        <w:tc>
          <w:tcPr>
            <w:tcW w:w="7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 X,</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gridSpan w:val="2"/>
            <w:vMerge w:val="restart"/>
          </w:tcPr>
          <w:p>
            <w:pPr>
              <w:jc w:val="center"/>
              <w:ind w:left="742"/>
              <w:spacing w:after="0"/>
              <w:rPr>
                <w:sz w:val="20"/>
                <w:szCs w:val="20"/>
                <w:color w:val="auto"/>
              </w:rPr>
            </w:pPr>
            <w:r>
              <w:rPr>
                <w:rFonts w:ascii="Times New Roman" w:cs="Times New Roman" w:eastAsia="Times New Roman" w:hAnsi="Times New Roman"/>
                <w:sz w:val="17"/>
                <w:szCs w:val="17"/>
                <w:color w:val="0000FF"/>
              </w:rPr>
              <w:t>06/11/2026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restart"/>
          </w:tcPr>
          <w:p>
            <w:pPr>
              <w:jc w:val="center"/>
              <w:ind w:right="278"/>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2,228,940</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40" w:type="dxa"/>
            <w:vAlign w:val="bottom"/>
            <w:vMerge w:val="restart"/>
          </w:tcPr>
          <w:p>
            <w:pPr>
              <w:jc w:val="center"/>
              <w:ind w:left="23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12,630,655</w:t>
            </w:r>
          </w:p>
        </w:tc>
        <w:tc>
          <w:tcPr>
            <w:tcW w:w="7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Select II,</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gridSpan w:val="2"/>
            <w:vMerge w:val="restart"/>
          </w:tcPr>
          <w:p>
            <w:pPr>
              <w:jc w:val="center"/>
              <w:ind w:left="762"/>
              <w:spacing w:after="0"/>
              <w:rPr>
                <w:sz w:val="20"/>
                <w:szCs w:val="20"/>
                <w:color w:val="auto"/>
              </w:rPr>
            </w:pPr>
            <w:r>
              <w:rPr>
                <w:rFonts w:ascii="Times New Roman" w:cs="Times New Roman" w:eastAsia="Times New Roman" w:hAnsi="Times New Roman"/>
                <w:sz w:val="17"/>
                <w:szCs w:val="17"/>
                <w:color w:val="0000FF"/>
              </w:rPr>
              <w:t>06/12/2026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197,748</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19.77</w:t>
            </w:r>
            <w:r>
              <w:rPr>
                <w:rFonts w:ascii="Times New Roman" w:cs="Times New Roman" w:eastAsia="Times New Roman" w:hAnsi="Times New Roman"/>
                <w:sz w:val="22"/>
                <w:szCs w:val="22"/>
                <w:color w:val="008000"/>
                <w:w w:val="92"/>
                <w:vertAlign w:val="superscript"/>
              </w:rPr>
              <w:t>(5)</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4,583,241</w:t>
            </w:r>
          </w:p>
        </w:tc>
        <w:tc>
          <w:tcPr>
            <w:tcW w:w="7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gridSpan w:val="2"/>
            <w:vMerge w:val="restart"/>
          </w:tcPr>
          <w:p>
            <w:pPr>
              <w:jc w:val="center"/>
              <w:ind w:left="762"/>
              <w:spacing w:after="0"/>
              <w:rPr>
                <w:sz w:val="20"/>
                <w:szCs w:val="20"/>
                <w:color w:val="auto"/>
              </w:rPr>
            </w:pPr>
            <w:r>
              <w:rPr>
                <w:rFonts w:ascii="Times New Roman" w:cs="Times New Roman" w:eastAsia="Times New Roman" w:hAnsi="Times New Roman"/>
                <w:sz w:val="17"/>
                <w:szCs w:val="17"/>
                <w:color w:val="0000FF"/>
              </w:rPr>
              <w:t>06/12/2026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822,069</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20.06</w:t>
            </w:r>
            <w:r>
              <w:rPr>
                <w:rFonts w:ascii="Times New Roman" w:cs="Times New Roman" w:eastAsia="Times New Roman" w:hAnsi="Times New Roman"/>
                <w:sz w:val="22"/>
                <w:szCs w:val="22"/>
                <w:color w:val="008000"/>
                <w:w w:val="92"/>
                <w:vertAlign w:val="superscript"/>
              </w:rPr>
              <w:t>(7)</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3,761,172</w:t>
            </w:r>
          </w:p>
        </w:tc>
        <w:tc>
          <w:tcPr>
            <w:tcW w:w="7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gridSpan w:val="2"/>
            <w:vMerge w:val="restart"/>
          </w:tcPr>
          <w:p>
            <w:pPr>
              <w:jc w:val="center"/>
              <w:ind w:left="762"/>
              <w:spacing w:after="0"/>
              <w:rPr>
                <w:sz w:val="20"/>
                <w:szCs w:val="20"/>
                <w:color w:val="auto"/>
              </w:rPr>
            </w:pPr>
            <w:r>
              <w:rPr>
                <w:rFonts w:ascii="Times New Roman" w:cs="Times New Roman" w:eastAsia="Times New Roman" w:hAnsi="Times New Roman"/>
                <w:sz w:val="17"/>
                <w:szCs w:val="17"/>
                <w:color w:val="0000FF"/>
              </w:rPr>
              <w:t>06/12/2026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83</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20.91</w:t>
            </w:r>
            <w:r>
              <w:rPr>
                <w:rFonts w:ascii="Times New Roman" w:cs="Times New Roman" w:eastAsia="Times New Roman" w:hAnsi="Times New Roman"/>
                <w:sz w:val="22"/>
                <w:szCs w:val="22"/>
                <w:color w:val="008000"/>
                <w:w w:val="92"/>
                <w:vertAlign w:val="superscript"/>
              </w:rPr>
              <w:t>(8)</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3,761,089</w:t>
            </w:r>
          </w:p>
        </w:tc>
        <w:tc>
          <w:tcPr>
            <w:tcW w:w="7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gridSpan w:val="2"/>
            <w:vMerge w:val="restart"/>
          </w:tcPr>
          <w:p>
            <w:pPr>
              <w:jc w:val="center"/>
              <w:ind w:left="762"/>
              <w:spacing w:after="0"/>
              <w:rPr>
                <w:sz w:val="20"/>
                <w:szCs w:val="20"/>
                <w:color w:val="auto"/>
              </w:rPr>
            </w:pPr>
            <w:r>
              <w:rPr>
                <w:rFonts w:ascii="Times New Roman" w:cs="Times New Roman" w:eastAsia="Times New Roman" w:hAnsi="Times New Roman"/>
                <w:sz w:val="17"/>
                <w:szCs w:val="17"/>
                <w:color w:val="0000FF"/>
              </w:rPr>
              <w:t>06/15/2026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573,572</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20.19</w:t>
            </w:r>
            <w:r>
              <w:rPr>
                <w:rFonts w:ascii="Times New Roman" w:cs="Times New Roman" w:eastAsia="Times New Roman" w:hAnsi="Times New Roman"/>
                <w:sz w:val="22"/>
                <w:szCs w:val="22"/>
                <w:color w:val="008000"/>
                <w:w w:val="92"/>
                <w:vertAlign w:val="superscript"/>
              </w:rPr>
              <w:t>(9)</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3,187,517</w:t>
            </w:r>
          </w:p>
        </w:tc>
        <w:tc>
          <w:tcPr>
            <w:tcW w:w="7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gridSpan w:val="2"/>
            <w:vMerge w:val="restart"/>
          </w:tcPr>
          <w:p>
            <w:pPr>
              <w:jc w:val="center"/>
              <w:ind w:left="762"/>
              <w:spacing w:after="0"/>
              <w:rPr>
                <w:sz w:val="20"/>
                <w:szCs w:val="20"/>
                <w:color w:val="auto"/>
              </w:rPr>
            </w:pPr>
            <w:r>
              <w:rPr>
                <w:rFonts w:ascii="Times New Roman" w:cs="Times New Roman" w:eastAsia="Times New Roman" w:hAnsi="Times New Roman"/>
                <w:sz w:val="17"/>
                <w:szCs w:val="17"/>
                <w:color w:val="0000FF"/>
              </w:rPr>
              <w:t>06/15/2026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430,659</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20.62</w:t>
            </w:r>
            <w:r>
              <w:rPr>
                <w:rFonts w:ascii="Times New Roman" w:cs="Times New Roman" w:eastAsia="Times New Roman" w:hAnsi="Times New Roman"/>
                <w:sz w:val="22"/>
                <w:szCs w:val="22"/>
                <w:color w:val="008000"/>
                <w:w w:val="94"/>
                <w:vertAlign w:val="superscript"/>
              </w:rPr>
              <w:t>(10)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2,756,858</w:t>
            </w:r>
          </w:p>
        </w:tc>
        <w:tc>
          <w:tcPr>
            <w:tcW w:w="7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192,885</w:t>
            </w:r>
          </w:p>
        </w:tc>
        <w:tc>
          <w:tcPr>
            <w:tcW w:w="7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Affiliates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040"/>
        <w:spacing w:after="0"/>
        <w:rPr>
          <w:sz w:val="20"/>
          <w:szCs w:val="20"/>
          <w:color w:val="auto"/>
        </w:rPr>
      </w:pPr>
      <w:r>
        <w:rPr>
          <w:rFonts w:ascii="Times New Roman" w:cs="Times New Roman" w:eastAsia="Times New Roman" w:hAnsi="Times New Roman"/>
          <w:sz w:val="17"/>
          <w:szCs w:val="17"/>
          <w:color w:val="0000FF"/>
        </w:rPr>
        <w:t>X, L.P.</w:t>
      </w:r>
      <w:r>
        <w:rPr>
          <w:rFonts w:ascii="Times New Roman" w:cs="Times New Roman" w:eastAsia="Times New Roman" w:hAnsi="Times New Roman"/>
          <w:sz w:val="22"/>
          <w:szCs w:val="22"/>
          <w:color w:val="008000"/>
          <w:vertAlign w:val="superscript"/>
        </w:rPr>
        <w:t>(11)</w:t>
      </w:r>
    </w:p>
    <w:p>
      <w:pPr>
        <w:sectPr>
          <w:pgSz w:w="11900" w:h="16838" w:orient="portrait"/>
          <w:cols w:equalWidth="0" w:num="1">
            <w:col w:w="10980"/>
          </w:cols>
          <w:pgMar w:left="460" w:top="219" w:right="459" w:bottom="225"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820" w:type="dxa"/>
            <w:vAlign w:val="bottom"/>
            <w:tcBorders>
              <w:top w:val="single" w:sz="8" w:color="2C2C2C"/>
            </w:tcBorders>
          </w:tcPr>
          <w:p>
            <w:pPr>
              <w:spacing w:after="0"/>
              <w:rPr>
                <w:sz w:val="7"/>
                <w:szCs w:val="7"/>
                <w:color w:val="auto"/>
              </w:rPr>
            </w:pPr>
          </w:p>
        </w:tc>
        <w:tc>
          <w:tcPr>
            <w:tcW w:w="10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2C2C2C"/>
            </w:tcBorders>
          </w:tcPr>
          <w:p>
            <w:pPr>
              <w:spacing w:after="0"/>
              <w:rPr>
                <w:sz w:val="15"/>
                <w:szCs w:val="15"/>
                <w:color w:val="auto"/>
              </w:rPr>
            </w:pPr>
          </w:p>
        </w:tc>
        <w:tc>
          <w:tcPr>
            <w:tcW w:w="15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0000FF"/>
              </w:rPr>
              <w:t>587,965</w:t>
            </w:r>
          </w:p>
        </w:tc>
        <w:tc>
          <w:tcPr>
            <w:tcW w:w="9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 I</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vMerge w:val="restart"/>
          </w:tcPr>
          <w:p>
            <w:pPr>
              <w:jc w:val="right"/>
              <w:ind w:right="77"/>
              <w:spacing w:after="0"/>
              <w:rPr>
                <w:sz w:val="20"/>
                <w:szCs w:val="20"/>
                <w:color w:val="auto"/>
              </w:rPr>
            </w:pPr>
            <w:r>
              <w:rPr>
                <w:rFonts w:ascii="Times New Roman" w:cs="Times New Roman" w:eastAsia="Times New Roman" w:hAnsi="Times New Roman"/>
                <w:sz w:val="17"/>
                <w:szCs w:val="17"/>
                <w:color w:val="0000FF"/>
              </w:rPr>
              <w:t>6,134,518</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07"/>
        </w:trPr>
        <w:tc>
          <w:tcPr>
            <w:tcW w:w="23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040"/>
        <w:spacing w:after="0"/>
        <w:rPr>
          <w:sz w:val="20"/>
          <w:szCs w:val="20"/>
          <w:color w:val="auto"/>
        </w:rPr>
      </w:pPr>
      <w:r>
        <w:rPr>
          <w:rFonts w:ascii="Times New Roman" w:cs="Times New Roman" w:eastAsia="Times New Roman" w:hAnsi="Times New Roman"/>
          <w:sz w:val="17"/>
          <w:szCs w:val="17"/>
          <w:color w:val="0000FF"/>
        </w:rPr>
        <w:t>Select III,</w:t>
      </w:r>
    </w:p>
    <w:p>
      <w:pPr>
        <w:ind w:left="10040"/>
        <w:spacing w:after="0" w:line="185" w:lineRule="auto"/>
        <w:rPr>
          <w:sz w:val="20"/>
          <w:szCs w:val="20"/>
          <w:color w:val="auto"/>
        </w:rPr>
      </w:pPr>
      <w:r>
        <w:rPr>
          <w:rFonts w:ascii="Times New Roman" w:cs="Times New Roman" w:eastAsia="Times New Roman" w:hAnsi="Times New Roman"/>
          <w:sz w:val="26"/>
          <w:szCs w:val="26"/>
          <w:color w:val="0000FF"/>
          <w:vertAlign w:val="subscript"/>
        </w:rPr>
        <w:t>L.P.</w:t>
      </w:r>
      <w:r>
        <w:rPr>
          <w:rFonts w:ascii="Times New Roman" w:cs="Times New Roman" w:eastAsia="Times New Roman" w:hAnsi="Times New Roman"/>
          <w:sz w:val="10"/>
          <w:szCs w:val="10"/>
          <w:color w:val="008000"/>
        </w:rPr>
        <w:t>(13)</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Lightspeed Venture Partners X, L.P.</w:t>
              </w:r>
            </w:hyperlink>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Lightspeed Affiliates X, L.P.</w:t>
              </w:r>
            </w:hyperlink>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Lightspeed General Partner X, L.P.</w:t>
              </w:r>
            </w:hyperlink>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Lightspeed Ultimate General Partner X, Ltd.</w:t>
              </w:r>
            </w:hyperlink>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080"/>
          </w:cols>
          <w:pgMar w:left="460" w:top="191" w:right="359" w:bottom="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7"/>
          <w:szCs w:val="17"/>
          <w:color w:val="0000FF"/>
        </w:rPr>
        <w:t>C/O LIGHTSPEED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2200 SAND HILL ROAD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Lightspeed Opportunity Fund,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Lightspeed General Partner Opportunity Fund,</w:t>
        </w:r>
      </w:hyperlink>
    </w:p>
    <w:p>
      <w:pPr>
        <w:ind w:left="4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Lightspeed Ultimate General Partner</w:t>
        </w:r>
      </w:hyperlink>
    </w:p>
    <w:p>
      <w:pPr>
        <w:ind w:left="4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Opportunity Fund, Ltd.</w:t>
        </w:r>
      </w:hyperlink>
    </w:p>
    <w:p>
      <w:pPr>
        <w:spacing w:after="0" w:line="309"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C/O LIGHTSPEED VENTURE PARTNERS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2200 SAND HILL ROAD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Lightspeed Strategic Partners I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Lightspeed Strategic Partners General Partner I</w:t>
        </w:r>
      </w:hyperlink>
    </w:p>
    <w:p>
      <w:pPr>
        <w:ind w:left="4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bl>
    <w:p>
      <w:pPr>
        <w:spacing w:after="0" w:line="200" w:lineRule="exact"/>
        <w:rPr>
          <w:sz w:val="20"/>
          <w:szCs w:val="20"/>
          <w:color w:val="auto"/>
        </w:rPr>
      </w:pPr>
    </w:p>
    <w:p>
      <w:pPr>
        <w:sectPr>
          <w:pgSz w:w="11900" w:h="16838" w:orient="portrait"/>
          <w:cols w:equalWidth="0" w:num="1">
            <w:col w:w="9919"/>
          </w:cols>
          <w:pgMar w:left="540" w:top="125" w:right="1440" w:bottom="0" w:gutter="0" w:footer="0" w:header="0"/>
        </w:sectPr>
      </w:pPr>
    </w:p>
    <w:p>
      <w:pPr>
        <w:spacing w:after="0" w:line="108"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9919"/>
          </w:cols>
          <w:pgMar w:left="540" w:top="125" w:right="1440" w:bottom="0" w:gutter="0" w:footer="0" w:header="0"/>
          <w:type w:val="continuous"/>
        </w:sectPr>
      </w:pPr>
    </w:p>
    <w:bookmarkStart w:id="3" w:name="page4"/>
    <w:bookmarkEnd w:id="3"/>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-140970</wp:posOffset>
            </wp:positionV>
            <wp:extent cx="2809240" cy="1916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809240" cy="1916430"/>
                    </a:xfrm>
                    <a:prstGeom prst="rect">
                      <a:avLst/>
                    </a:prstGeom>
                    <a:noFill/>
                  </pic:spPr>
                </pic:pic>
              </a:graphicData>
            </a:graphic>
          </wp:anchor>
        </w:drawing>
      </w:r>
    </w:p>
    <w:p>
      <w:pPr>
        <w:ind w:left="80"/>
        <w:spacing w:after="0" w:line="238" w:lineRule="auto"/>
        <w:rPr>
          <w:rFonts w:ascii="Times New Roman" w:cs="Times New Roman" w:eastAsia="Times New Roman" w:hAnsi="Times New Roman"/>
          <w:sz w:val="21"/>
          <w:szCs w:val="21"/>
          <w:u w:val="single" w:color="auto"/>
          <w:color w:val="0000EE"/>
        </w:rPr>
      </w:pPr>
      <w:hyperlink r:id="rId26">
        <w:r>
          <w:rPr>
            <w:rFonts w:ascii="Times New Roman" w:cs="Times New Roman" w:eastAsia="Times New Roman" w:hAnsi="Times New Roman"/>
            <w:sz w:val="21"/>
            <w:szCs w:val="21"/>
            <w:u w:val="single" w:color="auto"/>
            <w:color w:val="0000EE"/>
          </w:rPr>
          <w:t>Lightspeed Strategic Partners Ultimate General</w:t>
        </w:r>
      </w:hyperlink>
    </w:p>
    <w:p>
      <w:pPr>
        <w:ind w:left="80"/>
        <w:spacing w:after="0"/>
        <w:rPr>
          <w:rFonts w:ascii="Times New Roman" w:cs="Times New Roman" w:eastAsia="Times New Roman" w:hAnsi="Times New Roman"/>
          <w:sz w:val="21"/>
          <w:szCs w:val="21"/>
          <w:u w:val="single" w:color="auto"/>
          <w:color w:val="0000EE"/>
        </w:rPr>
      </w:pPr>
      <w:hyperlink r:id="rId26">
        <w:r>
          <w:rPr>
            <w:rFonts w:ascii="Times New Roman" w:cs="Times New Roman" w:eastAsia="Times New Roman" w:hAnsi="Times New Roman"/>
            <w:sz w:val="21"/>
            <w:szCs w:val="21"/>
            <w:u w:val="single" w:color="auto"/>
            <w:color w:val="0000EE"/>
          </w:rPr>
          <w:t>Partner I L.L.C.</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 rata, in-kind distribution, and not a purchase or sale of securities, by Lightspeed Venture Partners X, L.P. ("Lightspeed X") to its general partner and limited partners without additional consideration. The general partner further distributed the shares received in this distribution to its limited partners on a pro rata basis for no consideration.</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X. Lightspeed General Partner X, L.P. ("LGP X") is the general partner of Lightspeed X. Lightspeed Ultimate General Partner X, Ltd. ("LUGP X") is the general partner of LGP X. Each of LGP X and LUGP X disclaims beneficial ownership of these shares except to the extent of its respective pecuniary interest therein.</w:t>
      </w:r>
    </w:p>
    <w:p>
      <w:pPr>
        <w:spacing w:after="0" w:line="7" w:lineRule="exact"/>
        <w:rPr>
          <w:rFonts w:ascii="Times New Roman" w:cs="Times New Roman" w:eastAsia="Times New Roman" w:hAnsi="Times New Roman"/>
          <w:sz w:val="13"/>
          <w:szCs w:val="13"/>
          <w:color w:val="008000"/>
        </w:rPr>
      </w:pPr>
    </w:p>
    <w:p>
      <w:pPr>
        <w:ind w:right="3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 rata, in-kind distribution, and not a purchase or sale of securities, by Lightspeed Venture Partners Select II, L.P. ("Lightspeed Select II") to its general partner and limited partners without additional consideration. The general partner further distributed the shares received in this distribution to its limited partners on a pro rata basis for no consideration.</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Select II. Lightspeed General Partner Select II, L.P. ("LGP Select II") is the general partner of Lightspeed Select II. Lightspeed Ultimate General Partner Select II, Ltd. ("LUGP Select II") is the general partner of LGP Select II. Each of LGP Select II and LUGP Select II disclaims beneficial ownership of these shares except to the extent of its respective pecuniary interest therein.</w:t>
      </w:r>
    </w:p>
    <w:p>
      <w:pPr>
        <w:spacing w:after="0" w:line="20" w:lineRule="exact"/>
        <w:rPr>
          <w:rFonts w:ascii="Times New Roman" w:cs="Times New Roman" w:eastAsia="Times New Roman" w:hAnsi="Times New Roman"/>
          <w:sz w:val="13"/>
          <w:szCs w:val="13"/>
          <w:color w:val="008000"/>
        </w:rPr>
      </w:pPr>
    </w:p>
    <w:p>
      <w:pPr>
        <w:ind w:right="6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$18.8748 to $19.8741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Opportunity Fund, L.P. ("Opportunity"). Lightspeed General Partner Opportunity Fund, L.P. ("LGP Opportunity") is the general partner of Opportunity. Lightspeed Ultimate General Partner Opportunity Fund, Ltd. ("LUGP Opportunity") is the general partner of LGP Opportunity. Each of LGP Opportunity and LUGP Opportunity disclaims beneficial ownership of these shares except to the extent of its respective pecuniary interest therein.</w:t>
      </w:r>
    </w:p>
    <w:p>
      <w:pPr>
        <w:spacing w:after="0" w:line="20" w:lineRule="exact"/>
        <w:rPr>
          <w:rFonts w:ascii="Times New Roman" w:cs="Times New Roman" w:eastAsia="Times New Roman" w:hAnsi="Times New Roman"/>
          <w:sz w:val="13"/>
          <w:szCs w:val="13"/>
          <w:color w:val="008000"/>
        </w:rPr>
      </w:pPr>
    </w:p>
    <w:p>
      <w:pPr>
        <w:ind w:right="6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$19.8752 to $20.8701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18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$20.90 to $20.9127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$19.385 to $20.3849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2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$20.3856 to $20.89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420" w:firstLine="7"/>
        <w:spacing w:after="0" w:line="272" w:lineRule="auto"/>
        <w:tabs>
          <w:tab w:leader="none" w:pos="19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Affiliates X, L.P. ("Affiliates X"). LGP X is the general partner of Affiliates X. LUGP X is the general partner of LGP X. Each of LGP X and LUGP X disclaims beneficial ownership of these shares except to the extent of its respective pecuniary interest therein.</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Strategic Partners I L.P. ("Strategic"). Lightspeed Strategic Partners General Partner I L.P. ("LGP Strategic") is the general partner of Strategic. Lightspeed Strategic Partners Ultimate General Partner I L.L.C. ("LUGP Strategic") is the general partner of LGP Strategic. Each of LGP Strategic and LUGP Strategic disclaims beneficial ownership of these shares except to the extent of its respective pecuniary interest therein.</w:t>
      </w:r>
    </w:p>
    <w:p>
      <w:pPr>
        <w:spacing w:after="0" w:line="20" w:lineRule="exact"/>
        <w:rPr>
          <w:rFonts w:ascii="Times New Roman" w:cs="Times New Roman" w:eastAsia="Times New Roman" w:hAnsi="Times New Roman"/>
          <w:sz w:val="13"/>
          <w:szCs w:val="13"/>
          <w:color w:val="008000"/>
        </w:rPr>
      </w:pPr>
    </w:p>
    <w:p>
      <w:pPr>
        <w:ind w:right="16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Venture Partners Select III, L.P. ("Lightspeed Select III"). Lightspeed General Partner Select III, L.P. ("LGP Select III") is the general partner of Lightspeed Select III. Lightspeed Ultimate General Partner Select III, Ltd. ("LUGP Select III") is the general partner of LGP Select III. Each of LGP Select III and LUGP Select III disclaims beneficial ownership of these shares except to the extent of its respective pecuniary interest therein.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3"/>
          <w:szCs w:val="13"/>
          <w:color w:val="008000"/>
        </w:rPr>
        <w:t>This Form 4 is the first of two Forms 4 filed relating to the same events. Combined, the two Form 4s report the holdings for the following Reporting Persons: Lightspeed Venture Partners X, L.P., Lightspeed Affiliates X, L.P., Lightspeed General Partner X, L.P., Lightspeed Ultimate General Partner X, Ltd., Lightspeed Opportunity Fund, L.P., Lightspeed General Partner Opportunity Fund, L.P., Lightspeed Ultimate General Partner Opportunity Fund, Ltd., Lightspeed Strategic Partners I L.P., Lightspeed Strategic Partners General Partner I L.P., Lightspeed Strategic Partners Ultimate General Partner I L.L.C., Lightspeed Venture Partners Select II, L.P., Lightspeed General Partner Select II, L.P., Lightspeed Ultimate General Partner Select II, Ltd., Lightspeed Venture Partners Select III, L.P., Lightspeed General Partner Select III, L.P. and Lightspeed Ultimate General Partner Select III, Ltd. This Form 4 has been split into two filings because there are more than 10 reporting persons in total, and the SEC's EDGAR filing system limits a single Form 4 to a maximum of 10 reporting persons.</w:t>
      </w:r>
    </w:p>
    <w:p>
      <w:pPr>
        <w:sectPr>
          <w:pgSz w:w="11900" w:h="16838" w:orient="portrait"/>
          <w:cols w:equalWidth="0" w:num="1">
            <w:col w:w="10860"/>
          </w:cols>
          <w:pgMar w:left="500" w:top="110" w:right="539" w:bottom="0" w:gutter="0" w:footer="0" w:header="0"/>
        </w:sectPr>
      </w:pPr>
    </w:p>
    <w:p>
      <w:pPr>
        <w:spacing w:after="0" w:line="5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6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X,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56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0356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X,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55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2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9029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3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X, Ltd.,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Affiliates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0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Lightspeed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09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X,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55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33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Ultimate General Partner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1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Ltd.,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55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General Partner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36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8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X,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91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63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Partner X, Ltd.,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96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91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8660" w:space="80"/>
            <w:col w:w="2120"/>
          </w:cols>
          <w:pgMar w:left="500" w:top="110" w:right="539" w:bottom="0" w:gutter="0" w:footer="0" w:header="0"/>
          <w:type w:val="continuous"/>
        </w:sectPr>
      </w:pPr>
    </w:p>
    <w:p>
      <w:pPr>
        <w:ind w:left="6540"/>
        <w:spacing w:after="0"/>
        <w:rPr>
          <w:sz w:val="20"/>
          <w:szCs w:val="20"/>
          <w:color w:val="auto"/>
        </w:rPr>
      </w:pPr>
      <w:r>
        <w:rPr>
          <w:rFonts w:ascii="Times New Roman" w:cs="Times New Roman" w:eastAsia="Times New Roman" w:hAnsi="Times New Roman"/>
          <w:sz w:val="17"/>
          <w:szCs w:val="17"/>
          <w:color w:val="0000FF"/>
        </w:rPr>
        <w:t>Lightspeed Opportunity Fund, 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Lightspeed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9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Opportunity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04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3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ectPr>
          <w:pgSz w:w="11900" w:h="16838" w:orient="portrait"/>
          <w:cols w:equalWidth="0" w:num="1">
            <w:col w:w="10860"/>
          </w:cols>
          <w:pgMar w:left="500" w:top="110" w:right="539" w:bottom="0" w:gutter="0" w:footer="0" w:header="0"/>
          <w:type w:val="continuous"/>
        </w:sectPr>
      </w:pPr>
    </w:p>
    <w:bookmarkStart w:id="4" w:name="page5"/>
    <w:bookmarkEnd w:id="4"/>
    <w:p>
      <w:pPr>
        <w:ind w:left="6540"/>
        <w:spacing w:after="0"/>
        <w:rPr>
          <w:sz w:val="20"/>
          <w:szCs w:val="20"/>
          <w:color w:val="auto"/>
        </w:rPr>
      </w:pPr>
      <w:r>
        <w:rPr>
          <w:rFonts w:ascii="Times New Roman" w:cs="Times New Roman" w:eastAsia="Times New Roman" w:hAnsi="Times New Roman"/>
          <w:sz w:val="17"/>
          <w:szCs w:val="17"/>
          <w:color w:val="0000FF"/>
        </w:rPr>
        <w:t>Partner Opportunity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639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Ltd.,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55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96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Opportunity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3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Opportunity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Ltd.,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55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63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Partner Opportunity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Ltd., 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29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Strategic Partners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95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Lightspeed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9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General Partner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04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Lightspeed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54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Ultimate General Partner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96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87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Ravi Mhatre,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54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General Partner 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96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Lightspeed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54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Ultimate General Partner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96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87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Ravi Mhatre,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54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Ultimate General Partner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96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28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90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4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9" Type="http://schemas.openxmlformats.org/officeDocument/2006/relationships/image" Target="media/image7.png"/><Relationship Id="rId25"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13" Type="http://schemas.openxmlformats.org/officeDocument/2006/relationships/hyperlink" Target="http://www.sec.gov/cgi-bin/browse-edgar?action=getcompany&amp;CIK=0001602573" TargetMode="External"/><Relationship Id="rId14" Type="http://schemas.openxmlformats.org/officeDocument/2006/relationships/hyperlink" Target="http://www.sec.gov/cgi-bin/browse-edgar?action=getcompany&amp;CIK=0001639723" TargetMode="External"/><Relationship Id="rId16" Type="http://schemas.openxmlformats.org/officeDocument/2006/relationships/hyperlink" Target="http://www.sec.gov/cgi-bin/browse-edgar?action=getcompany&amp;CIK=0001617751" TargetMode="External"/><Relationship Id="rId17" Type="http://schemas.openxmlformats.org/officeDocument/2006/relationships/hyperlink" Target="http://www.sec.gov/cgi-bin/browse-edgar?action=getcompany&amp;CIK=0001700550" TargetMode="External"/><Relationship Id="rId18" Type="http://schemas.openxmlformats.org/officeDocument/2006/relationships/hyperlink" Target="http://www.sec.gov/cgi-bin/browse-edgar?action=getcompany&amp;CIK=0001700549" TargetMode="External"/><Relationship Id="rId20" Type="http://schemas.openxmlformats.org/officeDocument/2006/relationships/hyperlink" Target="http://www.sec.gov/cgi-bin/browse-edgar?action=getcompany&amp;CIK=0001780948" TargetMode="External"/><Relationship Id="rId21" Type="http://schemas.openxmlformats.org/officeDocument/2006/relationships/hyperlink" Target="http://www.sec.gov/cgi-bin/browse-edgar?action=getcompany&amp;CIK=0001980478" TargetMode="External"/><Relationship Id="rId22" Type="http://schemas.openxmlformats.org/officeDocument/2006/relationships/hyperlink" Target="http://www.sec.gov/cgi-bin/browse-edgar?action=getcompany&amp;CIK=0001980477" TargetMode="External"/><Relationship Id="rId23" Type="http://schemas.openxmlformats.org/officeDocument/2006/relationships/hyperlink" Target="http://www.sec.gov/cgi-bin/browse-edgar?action=getcompany&amp;CIK=0001830973" TargetMode="External"/><Relationship Id="rId24" Type="http://schemas.openxmlformats.org/officeDocument/2006/relationships/hyperlink" Target="http://www.sec.gov/cgi-bin/browse-edgar?action=getcompany&amp;CIK=0001978187" TargetMode="External"/><Relationship Id="rId26" Type="http://schemas.openxmlformats.org/officeDocument/2006/relationships/hyperlink" Target="http://www.sec.gov/cgi-bin/browse-edgar?action=getcompany&amp;CIK=00019788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2026-06-15T19:26:05Z</dcterms:created>
  <dcterms:modified xsi:type="dcterms:W3CDTF">2026-06-15T19:26:05Z</dcterms:modified>
</cp:coreProperties>
</file>