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8836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836025"/>
                    </a:xfrm>
                    <a:prstGeom prst="rect">
                      <a:avLst/>
                    </a:prstGeom>
                    <a:noFill/>
                  </pic:spPr>
                </pic:pic>
              </a:graphicData>
            </a:graphic>
          </wp:anchor>
        </w:drawing>
      </w:r>
    </w:p>
    <w:p>
      <w:pPr>
        <w:spacing w:after="0" w:line="1013"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gridSpan w:val="4"/>
            <w:vMerge w:val="restart"/>
          </w:tcPr>
          <w:p>
            <w:pPr>
              <w:spacing w:after="0" w:line="227" w:lineRule="exact"/>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HOROWITZ BENJAMIN A</w:t>
              </w:r>
            </w:hyperlink>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5"/>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Navan,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Borders>
              <w:bottom w:val="single" w:sz="8" w:color="0000EE"/>
            </w:tcBorders>
            <w:gridSpan w:val="4"/>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780" w:type="dxa"/>
            <w:vAlign w:val="bottom"/>
          </w:tcPr>
          <w:p>
            <w:pPr>
              <w:spacing w:after="0"/>
              <w:rPr>
                <w:sz w:val="5"/>
                <w:szCs w:val="5"/>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gridSpan w:val="4"/>
          </w:tcPr>
          <w:p>
            <w:pPr>
              <w:spacing w:after="0"/>
              <w:rPr>
                <w:sz w:val="5"/>
                <w:szCs w:val="5"/>
                <w:color w:val="auto"/>
              </w:rPr>
            </w:pPr>
          </w:p>
        </w:tc>
        <w:tc>
          <w:tcPr>
            <w:tcW w:w="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3"/>
                <w:szCs w:val="3"/>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2"/>
                <w:szCs w:val="12"/>
                <w:color w:val="auto"/>
              </w:rPr>
              <w:t>(First)</w:t>
            </w:r>
          </w:p>
        </w:tc>
        <w:tc>
          <w:tcPr>
            <w:tcW w:w="1100" w:type="dxa"/>
            <w:vAlign w:val="bottom"/>
            <w:gridSpan w:val="2"/>
            <w:vMerge w:val="restart"/>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780" w:type="dxa"/>
            <w:vAlign w:val="bottom"/>
          </w:tcPr>
          <w:p>
            <w:pPr>
              <w:spacing w:after="0"/>
              <w:rPr>
                <w:sz w:val="3"/>
                <w:szCs w:val="3"/>
                <w:color w:val="auto"/>
              </w:rPr>
            </w:pPr>
          </w:p>
        </w:tc>
        <w:tc>
          <w:tcPr>
            <w:tcW w:w="780" w:type="dxa"/>
            <w:vAlign w:val="bottom"/>
            <w:gridSpan w:val="2"/>
            <w:vMerge w:val="restart"/>
          </w:tcPr>
          <w:p>
            <w:pPr>
              <w:ind w:left="240"/>
              <w:spacing w:after="0"/>
              <w:rPr>
                <w:sz w:val="20"/>
                <w:szCs w:val="20"/>
                <w:color w:val="auto"/>
              </w:rPr>
            </w:pPr>
            <w:r>
              <w:rPr>
                <w:rFonts w:ascii="Arial" w:cs="Arial" w:eastAsia="Arial" w:hAnsi="Arial"/>
                <w:sz w:val="12"/>
                <w:szCs w:val="12"/>
                <w:color w:val="auto"/>
              </w:rPr>
              <w:t>below)</w:t>
            </w: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20" w:type="dxa"/>
            <w:vAlign w:val="bottom"/>
            <w:gridSpan w:val="6"/>
            <w:vMerge w:val="continue"/>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NAVAN, INC.</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10/31/2025</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3045 PARK BOULEVARD</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2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2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94306</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gridSpan w:val="2"/>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7"/>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right"/>
              <w:ind w:right="358"/>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0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tcPr>
          <w:p>
            <w:pPr>
              <w:ind w:left="860"/>
              <w:spacing w:after="0" w:line="124" w:lineRule="exact"/>
              <w:rPr>
                <w:sz w:val="20"/>
                <w:szCs w:val="20"/>
                <w:color w:val="auto"/>
              </w:rPr>
            </w:pPr>
            <w:r>
              <w:rPr>
                <w:rFonts w:ascii="Arial" w:cs="Arial" w:eastAsia="Arial" w:hAnsi="Arial"/>
                <w:sz w:val="11"/>
                <w:szCs w:val="11"/>
                <w:b w:val="1"/>
                <w:bCs w:val="1"/>
                <w:color w:val="auto"/>
                <w:w w:val="92"/>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jc w:val="right"/>
              <w:ind w:right="118"/>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gridSpan w:val="6"/>
          </w:tcPr>
          <w:p>
            <w:pPr>
              <w:jc w:val="center"/>
              <w:ind w:left="731"/>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gridSpan w:val="5"/>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4"/>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ind w:left="280"/>
              <w:spacing w:after="0" w:line="124"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jc w:val="right"/>
              <w:ind w:right="218"/>
              <w:spacing w:after="0"/>
              <w:rPr>
                <w:sz w:val="20"/>
                <w:szCs w:val="20"/>
                <w:color w:val="auto"/>
              </w:rPr>
            </w:pPr>
            <w:r>
              <w:rPr>
                <w:rFonts w:ascii="Arial" w:cs="Arial" w:eastAsia="Arial" w:hAnsi="Arial"/>
                <w:sz w:val="11"/>
                <w:szCs w:val="11"/>
                <w:b w:val="1"/>
                <w:bCs w:val="1"/>
                <w:color w:val="auto"/>
              </w:rPr>
              <w:t>Price</w:t>
            </w:r>
          </w:p>
        </w:tc>
        <w:tc>
          <w:tcPr>
            <w:tcW w:w="15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6"/>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6,757,090</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6,757,090</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6"/>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4,305,906</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5,574,551</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II,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6"/>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607,161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607,161</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LSV 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Andreessen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6"/>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color w:val="0000FF"/>
                <w:w w:val="99"/>
              </w:rPr>
              <w:t>2,081,772</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2,081,772</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Horowitz</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(6)</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CLF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6"/>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70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0000FF"/>
                <w:w w:val="99"/>
              </w:rPr>
              <w:t>17,001</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gridSpan w:val="2"/>
          </w:tcPr>
          <w:p>
            <w:pPr>
              <w:jc w:val="center"/>
              <w:ind w:left="275"/>
              <w:spacing w:after="0"/>
              <w:rPr>
                <w:sz w:val="20"/>
                <w:szCs w:val="20"/>
                <w:color w:val="auto"/>
              </w:rPr>
            </w:pPr>
            <w:r>
              <w:rPr>
                <w:rFonts w:ascii="Times New Roman" w:cs="Times New Roman" w:eastAsia="Times New Roman" w:hAnsi="Times New Roman"/>
                <w:sz w:val="16"/>
                <w:szCs w:val="16"/>
                <w:color w:val="0000FF"/>
                <w:w w:val="99"/>
              </w:rPr>
              <w:t>17,001</w:t>
            </w:r>
          </w:p>
        </w:tc>
        <w:tc>
          <w:tcPr>
            <w:tcW w:w="7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gridSpan w:val="2"/>
          </w:tcPr>
          <w:p>
            <w:pPr>
              <w:ind w:left="60"/>
              <w:spacing w:after="0" w:line="259"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(7)</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AH</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6"/>
            <w:vMerge w:val="restart"/>
          </w:tcPr>
          <w:p>
            <w:pPr>
              <w:jc w:val="center"/>
              <w:ind w:left="731"/>
              <w:spacing w:after="0"/>
              <w:rPr>
                <w:sz w:val="20"/>
                <w:szCs w:val="20"/>
                <w:color w:val="auto"/>
              </w:rPr>
            </w:pPr>
            <w:r>
              <w:rPr>
                <w:rFonts w:ascii="Times New Roman" w:cs="Times New Roman" w:eastAsia="Times New Roman" w:hAnsi="Times New Roman"/>
                <w:sz w:val="16"/>
                <w:szCs w:val="16"/>
                <w:color w:val="0000FF"/>
              </w:rPr>
              <w:t>10/31/2025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1100" w:type="dxa"/>
            <w:vAlign w:val="bottom"/>
            <w:gridSpan w:val="2"/>
            <w:vMerge w:val="restart"/>
          </w:tcPr>
          <w:p>
            <w:pPr>
              <w:jc w:val="center"/>
              <w:ind w:right="82"/>
              <w:spacing w:after="0"/>
              <w:rPr>
                <w:sz w:val="20"/>
                <w:szCs w:val="20"/>
                <w:color w:val="auto"/>
              </w:rPr>
            </w:pPr>
            <w:r>
              <w:rPr>
                <w:rFonts w:ascii="Times New Roman" w:cs="Times New Roman" w:eastAsia="Times New Roman" w:hAnsi="Times New Roman"/>
                <w:sz w:val="16"/>
                <w:szCs w:val="16"/>
                <w:color w:val="0000FF"/>
                <w:w w:val="99"/>
              </w:rPr>
              <w:t>10,408,860</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vMerge w:val="restart"/>
          </w:tcPr>
          <w:p>
            <w:pPr>
              <w:jc w:val="right"/>
              <w:ind w:right="19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vMerge w:val="restart"/>
          </w:tcPr>
          <w:p>
            <w:pPr>
              <w:jc w:val="center"/>
              <w:ind w:right="384"/>
              <w:spacing w:after="0"/>
              <w:rPr>
                <w:sz w:val="20"/>
                <w:szCs w:val="20"/>
                <w:color w:val="auto"/>
              </w:rPr>
            </w:pPr>
            <w:r>
              <w:rPr>
                <w:rFonts w:ascii="Times New Roman" w:cs="Times New Roman" w:eastAsia="Times New Roman" w:hAnsi="Times New Roman"/>
                <w:sz w:val="16"/>
                <w:szCs w:val="16"/>
                <w:color w:val="0000FF"/>
                <w:w w:val="99"/>
              </w:rPr>
              <w:t>10,408,860</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Parallel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6"/>
            <w:vMerge w:val="continue"/>
          </w:tcPr>
          <w:p>
            <w:pPr>
              <w:spacing w:after="0"/>
              <w:rPr>
                <w:sz w:val="9"/>
                <w:szCs w:val="9"/>
                <w:color w:val="auto"/>
              </w:rPr>
            </w:pPr>
          </w:p>
        </w:tc>
        <w:tc>
          <w:tcPr>
            <w:tcW w:w="182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5"/>
          </w:tcPr>
          <w:p>
            <w:pPr>
              <w:ind w:left="60"/>
              <w:spacing w:after="0" w:line="259"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(8)(9)</w:t>
            </w: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7"/>
          </w:tcPr>
          <w:p>
            <w:pPr>
              <w:jc w:val="center"/>
              <w:ind w:right="121"/>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0" w:type="dxa"/>
            <w:vAlign w:val="bottom"/>
            <w:gridSpan w:val="15"/>
          </w:tcPr>
          <w:p>
            <w:pPr>
              <w:jc w:val="center"/>
              <w:ind w:left="53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5)</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54"/>
              <w:spacing w:after="0" w:line="124" w:lineRule="exact"/>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gridSpan w:val="2"/>
            <w:vMerge w:val="restart"/>
          </w:tcPr>
          <w:p>
            <w:pPr>
              <w:jc w:val="center"/>
              <w:ind w:right="2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Seed</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255,244</w:t>
            </w: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6"/>
                <w:szCs w:val="6"/>
                <w:color w:val="auto"/>
              </w:rPr>
            </w:pPr>
          </w:p>
        </w:tc>
        <w:tc>
          <w:tcPr>
            <w:tcW w:w="980" w:type="dxa"/>
            <w:vAlign w:val="bottom"/>
            <w:vMerge w:val="restart"/>
          </w:tcPr>
          <w:p>
            <w:pPr>
              <w:jc w:val="right"/>
              <w:ind w:right="123"/>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000" w:type="dxa"/>
            <w:vAlign w:val="bottom"/>
            <w:gridSpan w:val="2"/>
            <w:vMerge w:val="restart"/>
          </w:tcPr>
          <w:p>
            <w:pPr>
              <w:ind w:left="440"/>
              <w:spacing w:after="0" w:line="136" w:lineRule="exact"/>
              <w:rPr>
                <w:sz w:val="20"/>
                <w:szCs w:val="20"/>
                <w:color w:val="auto"/>
              </w:rPr>
            </w:pPr>
            <w:r>
              <w:rPr>
                <w:rFonts w:ascii="Times New Roman" w:cs="Times New Roman" w:eastAsia="Times New Roman" w:hAnsi="Times New Roman"/>
                <w:sz w:val="12"/>
                <w:szCs w:val="12"/>
                <w:color w:val="0000FF"/>
              </w:rPr>
              <w:t>765,736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6"/>
                <w:szCs w:val="6"/>
                <w:color w:val="auto"/>
              </w:rPr>
            </w:pPr>
          </w:p>
        </w:tc>
        <w:tc>
          <w:tcPr>
            <w:tcW w:w="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500" w:type="dxa"/>
            <w:vAlign w:val="bottom"/>
            <w:vMerge w:val="restart"/>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vMerge w:val="restart"/>
          </w:tcPr>
          <w:p>
            <w:pPr>
              <w:jc w:val="center"/>
              <w:ind w:left="22"/>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gridSpan w:val="3"/>
            <w:vMerge w:val="restart"/>
          </w:tcPr>
          <w:p>
            <w:pPr>
              <w:ind w:left="4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gridSpan w:val="2"/>
            <w:vMerge w:val="continue"/>
          </w:tcPr>
          <w:p>
            <w:pPr>
              <w:spacing w:after="0"/>
              <w:rPr>
                <w:sz w:val="6"/>
                <w:szCs w:val="6"/>
                <w:color w:val="auto"/>
              </w:rPr>
            </w:pPr>
          </w:p>
        </w:tc>
        <w:tc>
          <w:tcPr>
            <w:tcW w:w="740" w:type="dxa"/>
            <w:vAlign w:val="bottom"/>
            <w:gridSpan w:val="2"/>
            <w:vMerge w:val="restart"/>
          </w:tcPr>
          <w:p>
            <w:pPr>
              <w:jc w:val="right"/>
              <w:ind w:right="38"/>
              <w:spacing w:after="0" w:line="174" w:lineRule="exact"/>
              <w:rPr>
                <w:sz w:val="20"/>
                <w:szCs w:val="20"/>
                <w:color w:val="auto"/>
              </w:rPr>
            </w:pPr>
            <w:r>
              <w:rPr>
                <w:rFonts w:ascii="Times New Roman" w:cs="Times New Roman" w:eastAsia="Times New Roman" w:hAnsi="Times New Roman"/>
                <w:sz w:val="16"/>
                <w:szCs w:val="16"/>
                <w:color w:val="0000FF"/>
              </w:rPr>
              <w:t>201,306</w:t>
            </w:r>
          </w:p>
        </w:tc>
        <w:tc>
          <w:tcPr>
            <w:tcW w:w="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restart"/>
          </w:tcPr>
          <w:p>
            <w:pPr>
              <w:jc w:val="right"/>
              <w:ind w:right="123"/>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1000" w:type="dxa"/>
            <w:vAlign w:val="bottom"/>
            <w:gridSpan w:val="2"/>
            <w:vMerge w:val="restart"/>
          </w:tcPr>
          <w:p>
            <w:pPr>
              <w:ind w:left="440"/>
              <w:spacing w:after="0" w:line="100" w:lineRule="exact"/>
              <w:rPr>
                <w:sz w:val="20"/>
                <w:szCs w:val="20"/>
                <w:color w:val="auto"/>
              </w:rPr>
            </w:pPr>
            <w:r>
              <w:rPr>
                <w:rFonts w:ascii="Times New Roman" w:cs="Times New Roman" w:eastAsia="Times New Roman" w:hAnsi="Times New Roman"/>
                <w:sz w:val="11"/>
                <w:szCs w:val="11"/>
                <w:color w:val="0000FF"/>
              </w:rPr>
              <w:t>603,920</w:t>
            </w: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gridSpan w:val="2"/>
            <w:vMerge w:val="restart"/>
          </w:tcPr>
          <w:p>
            <w:pP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LSV Fund</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vMerge w:val="restart"/>
          </w:tcPr>
          <w:p>
            <w:pPr>
              <w:ind w:left="40"/>
              <w:spacing w:after="0" w:line="227" w:lineRule="exact"/>
              <w:rPr>
                <w:sz w:val="20"/>
                <w:szCs w:val="20"/>
                <w:color w:val="auto"/>
              </w:rPr>
            </w:pPr>
            <w:r>
              <w:rPr>
                <w:rFonts w:ascii="Times New Roman" w:cs="Times New Roman" w:eastAsia="Times New Roman" w:hAnsi="Times New Roman"/>
                <w:sz w:val="12"/>
                <w:szCs w:val="12"/>
                <w:color w:val="0000FF"/>
              </w:rPr>
              <w:t>III, 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-2409825</wp:posOffset>
            </wp:positionV>
            <wp:extent cx="28575" cy="2473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73325"/>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5129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5129530"/>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2,081,772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22"/>
              <w:spacing w:after="0" w:line="136" w:lineRule="exact"/>
              <w:rPr>
                <w:sz w:val="20"/>
                <w:szCs w:val="20"/>
                <w:color w:val="auto"/>
              </w:rPr>
            </w:pPr>
            <w:r>
              <w:rPr>
                <w:rFonts w:ascii="Times New Roman" w:cs="Times New Roman" w:eastAsia="Times New Roman" w:hAnsi="Times New Roman"/>
                <w:sz w:val="12"/>
                <w:szCs w:val="12"/>
                <w:color w:val="0000FF"/>
              </w:rPr>
              <w:t>6,245,316</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Fund V,</w:t>
            </w:r>
          </w:p>
        </w:tc>
        <w:tc>
          <w:tcPr>
            <w:tcW w:w="0" w:type="dxa"/>
            <w:vAlign w:val="bottom"/>
          </w:tcPr>
          <w:p>
            <w:pPr>
              <w:spacing w:after="0"/>
              <w:rPr>
                <w:sz w:val="1"/>
                <w:szCs w:val="1"/>
                <w:color w:val="auto"/>
              </w:rPr>
            </w:pPr>
          </w:p>
        </w:tc>
      </w:tr>
      <w:tr>
        <w:trPr>
          <w:trHeight w:val="227"/>
        </w:trPr>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7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AH</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10,408,860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Parallel</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4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22"/>
              <w:spacing w:after="0" w:line="100" w:lineRule="exact"/>
              <w:rPr>
                <w:sz w:val="20"/>
                <w:szCs w:val="20"/>
                <w:color w:val="auto"/>
              </w:rPr>
            </w:pPr>
            <w:r>
              <w:rPr>
                <w:rFonts w:ascii="Times New Roman" w:cs="Times New Roman" w:eastAsia="Times New Roman" w:hAnsi="Times New Roman"/>
                <w:sz w:val="11"/>
                <w:szCs w:val="11"/>
                <w:color w:val="0000FF"/>
              </w:rPr>
              <w:t>31,226,580</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Fund V,</w:t>
            </w:r>
          </w:p>
        </w:tc>
        <w:tc>
          <w:tcPr>
            <w:tcW w:w="0" w:type="dxa"/>
            <w:vAlign w:val="bottom"/>
          </w:tcPr>
          <w:p>
            <w:pPr>
              <w:spacing w:after="0" w:line="20" w:lineRule="exact"/>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(8)(9)</w:t>
            </w:r>
          </w:p>
        </w:tc>
        <w:tc>
          <w:tcPr>
            <w:tcW w:w="0" w:type="dxa"/>
            <w:vAlign w:val="bottom"/>
          </w:tcPr>
          <w:p>
            <w:pPr>
              <w:spacing w:after="0"/>
              <w:rPr>
                <w:sz w:val="1"/>
                <w:szCs w:val="1"/>
                <w:color w:val="auto"/>
              </w:rPr>
            </w:pPr>
          </w:p>
        </w:tc>
      </w:tr>
      <w:tr>
        <w:trPr>
          <w:trHeight w:val="129"/>
        </w:trPr>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13,878</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CLF</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22"/>
              <w:spacing w:after="0" w:line="136" w:lineRule="exact"/>
              <w:rPr>
                <w:sz w:val="20"/>
                <w:szCs w:val="20"/>
                <w:color w:val="auto"/>
              </w:rPr>
            </w:pPr>
            <w:r>
              <w:rPr>
                <w:rFonts w:ascii="Times New Roman" w:cs="Times New Roman" w:eastAsia="Times New Roman" w:hAnsi="Times New Roman"/>
                <w:sz w:val="12"/>
                <w:szCs w:val="12"/>
                <w:color w:val="0000FF"/>
              </w:rPr>
              <w:t>41,635</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7"/>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(7)</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6,757,090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22"/>
              <w:spacing w:after="0" w:line="136" w:lineRule="exact"/>
              <w:rPr>
                <w:sz w:val="20"/>
                <w:szCs w:val="20"/>
                <w:color w:val="auto"/>
              </w:rPr>
            </w:pPr>
            <w:r>
              <w:rPr>
                <w:rFonts w:ascii="Times New Roman" w:cs="Times New Roman" w:eastAsia="Times New Roman" w:hAnsi="Times New Roman"/>
                <w:sz w:val="12"/>
                <w:szCs w:val="12"/>
                <w:color w:val="0000FF"/>
                <w:w w:val="99"/>
              </w:rPr>
              <w:t>20,244,280</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E</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3,272,830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22"/>
              <w:spacing w:after="0" w:line="136" w:lineRule="exact"/>
              <w:rPr>
                <w:sz w:val="20"/>
                <w:szCs w:val="20"/>
                <w:color w:val="auto"/>
              </w:rPr>
            </w:pPr>
            <w:r>
              <w:rPr>
                <w:rFonts w:ascii="Times New Roman" w:cs="Times New Roman" w:eastAsia="Times New Roman" w:hAnsi="Times New Roman"/>
                <w:sz w:val="12"/>
                <w:szCs w:val="12"/>
                <w:color w:val="0000FF"/>
              </w:rPr>
              <w:t>9,763,156</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F</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777,832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22"/>
              <w:spacing w:after="0" w:line="136" w:lineRule="exact"/>
              <w:rPr>
                <w:sz w:val="20"/>
                <w:szCs w:val="20"/>
                <w:color w:val="auto"/>
              </w:rPr>
            </w:pPr>
            <w:r>
              <w:rPr>
                <w:rFonts w:ascii="Times New Roman" w:cs="Times New Roman" w:eastAsia="Times New Roman" w:hAnsi="Times New Roman"/>
                <w:sz w:val="12"/>
                <w:szCs w:val="12"/>
                <w:color w:val="0000FF"/>
              </w:rPr>
              <w:t>2,309,297</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LSV Fund</w:t>
            </w:r>
          </w:p>
        </w:tc>
        <w:tc>
          <w:tcPr>
            <w:tcW w:w="0" w:type="dxa"/>
            <w:vAlign w:val="bottom"/>
          </w:tcPr>
          <w:p>
            <w:pPr>
              <w:spacing w:after="0"/>
              <w:rPr>
                <w:sz w:val="1"/>
                <w:szCs w:val="1"/>
                <w:color w:val="auto"/>
              </w:rPr>
            </w:pPr>
          </w:p>
        </w:tc>
      </w:tr>
      <w:tr>
        <w:trPr>
          <w:trHeight w:val="227"/>
        </w:trPr>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7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3,123</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CLF</w:t>
            </w: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2"/>
              <w:spacing w:after="0" w:line="136" w:lineRule="exact"/>
              <w:rPr>
                <w:sz w:val="20"/>
                <w:szCs w:val="20"/>
                <w:color w:val="auto"/>
              </w:rPr>
            </w:pPr>
            <w:r>
              <w:rPr>
                <w:rFonts w:ascii="Times New Roman" w:cs="Times New Roman" w:eastAsia="Times New Roman" w:hAnsi="Times New Roman"/>
                <w:sz w:val="12"/>
                <w:szCs w:val="12"/>
                <w:color w:val="0000FF"/>
              </w:rPr>
              <w:t>9,274</w:t>
            </w:r>
          </w:p>
        </w:tc>
        <w:tc>
          <w:tcPr>
            <w:tcW w:w="74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7"/>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(7)</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Andreessen</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405,855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Horowitz</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40" w:type="dxa"/>
            <w:vAlign w:val="bottom"/>
            <w:vMerge w:val="continue"/>
          </w:tcPr>
          <w:p>
            <w:pPr>
              <w:spacing w:after="0"/>
              <w:rPr>
                <w:sz w:val="6"/>
                <w:szCs w:val="6"/>
                <w:color w:val="auto"/>
              </w:rPr>
            </w:pPr>
          </w:p>
        </w:tc>
        <w:tc>
          <w:tcPr>
            <w:tcW w:w="104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22"/>
              <w:spacing w:after="0" w:line="100" w:lineRule="exact"/>
              <w:rPr>
                <w:sz w:val="20"/>
                <w:szCs w:val="20"/>
                <w:color w:val="auto"/>
              </w:rPr>
            </w:pPr>
            <w:r>
              <w:rPr>
                <w:rFonts w:ascii="Times New Roman" w:cs="Times New Roman" w:eastAsia="Times New Roman" w:hAnsi="Times New Roman"/>
                <w:sz w:val="11"/>
                <w:szCs w:val="11"/>
                <w:color w:val="0000FF"/>
              </w:rPr>
              <w:t>1,201,643</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LSV Fund</w:t>
            </w:r>
          </w:p>
        </w:tc>
        <w:tc>
          <w:tcPr>
            <w:tcW w:w="0" w:type="dxa"/>
            <w:vAlign w:val="bottom"/>
          </w:tcPr>
          <w:p>
            <w:pPr>
              <w:spacing w:after="0" w:line="20" w:lineRule="exact"/>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vMerge w:val="restart"/>
          </w:tcPr>
          <w:p>
            <w:pPr>
              <w:ind w:left="60"/>
              <w:spacing w:after="0" w:line="227" w:lineRule="exact"/>
              <w:rPr>
                <w:sz w:val="20"/>
                <w:szCs w:val="20"/>
                <w:color w:val="auto"/>
              </w:rPr>
            </w:pPr>
            <w:r>
              <w:rPr>
                <w:rFonts w:ascii="Times New Roman" w:cs="Times New Roman" w:eastAsia="Times New Roman" w:hAnsi="Times New Roman"/>
                <w:sz w:val="12"/>
                <w:szCs w:val="12"/>
                <w:color w:val="0000FF"/>
              </w:rPr>
              <w:t>III, 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(5)</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220" w:hanging="4"/>
        <w:spacing w:after="0" w:line="25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Seed, Series A, Series C, Series D, Series E, Series F and Series G-1 Preferred Stock automatically converted into shares of Class A Common Stock immediately prior to the closing of the Issuer's initial public offering ("IPO") for no additional consideration at a conversion ratio that was dependent upon the initial offering price per share of the Class A Common Stock to the public in the Issuer's IPO, and had no expiration date.</w:t>
      </w:r>
    </w:p>
    <w:p>
      <w:pPr>
        <w:spacing w:after="0" w:line="16" w:lineRule="exact"/>
        <w:rPr>
          <w:rFonts w:ascii="Times New Roman" w:cs="Times New Roman" w:eastAsia="Times New Roman" w:hAnsi="Times New Roman"/>
          <w:sz w:val="12"/>
          <w:szCs w:val="12"/>
          <w:color w:val="008000"/>
        </w:rPr>
      </w:pPr>
    </w:p>
    <w:p>
      <w:pPr>
        <w:ind w:left="20" w:right="120" w:hanging="4"/>
        <w:spacing w:after="0" w:line="24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The Reporting Person and Marc Andreessen are the managing members of AH EP LSV I and may be deemed to have shared voting and dispositive power over the shares held by the AH LSV Fund I Entities. The Reporting Person disclaims the existence of a "group" and disclaims beneficial ownership of the securities held by the AH LSV Fund I Entities and this report shall not be deemed an admission that the Reporting Person is the beneficial owner of such securities, except to the extent of his pecuniary interest therein, if any.</w:t>
      </w:r>
    </w:p>
    <w:p>
      <w:pPr>
        <w:spacing w:after="0" w:line="23" w:lineRule="exact"/>
        <w:rPr>
          <w:rFonts w:ascii="Times New Roman" w:cs="Times New Roman" w:eastAsia="Times New Roman" w:hAnsi="Times New Roman"/>
          <w:sz w:val="12"/>
          <w:szCs w:val="12"/>
          <w:color w:val="008000"/>
        </w:rPr>
      </w:pPr>
    </w:p>
    <w:p>
      <w:pPr>
        <w:ind w:left="20" w:right="120" w:hanging="4"/>
        <w:spacing w:after="0" w:line="24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The Reporting Person and Marc Andreessen are the managing members of AH EP LSV II and may be deemed to have shared voting and dispositive power over the shares held by the AH LSV Fund II Entities. The Reporting Person disclaims the existence of a "group" and disclaims beneficial ownership of the securities held by the AH LSV Fund II Entities and this report shall not be deemed an admission that the Reporting Person is the beneficial owner of such securities, except to the extent of his pecuniary interest therein, if any.</w:t>
      </w:r>
    </w:p>
    <w:p>
      <w:pPr>
        <w:spacing w:after="0" w:line="23" w:lineRule="exact"/>
        <w:rPr>
          <w:rFonts w:ascii="Times New Roman" w:cs="Times New Roman" w:eastAsia="Times New Roman" w:hAnsi="Times New Roman"/>
          <w:sz w:val="12"/>
          <w:szCs w:val="12"/>
          <w:color w:val="008000"/>
        </w:rPr>
      </w:pPr>
    </w:p>
    <w:p>
      <w:pPr>
        <w:ind w:left="20" w:right="120" w:hanging="4"/>
        <w:spacing w:after="0" w:line="25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16" w:lineRule="exact"/>
        <w:rPr>
          <w:rFonts w:ascii="Times New Roman" w:cs="Times New Roman" w:eastAsia="Times New Roman" w:hAnsi="Times New Roman"/>
          <w:sz w:val="12"/>
          <w:szCs w:val="12"/>
          <w:color w:val="008000"/>
        </w:rPr>
      </w:pPr>
    </w:p>
    <w:p>
      <w:pPr>
        <w:ind w:left="20" w:right="180" w:hanging="4"/>
        <w:spacing w:after="0" w:line="25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The Reporting Person and Marc Andreessen are the managing members of AH EP LSV III and may be deemed to have shared voting and dispositive power over the shares held by the AH LSV Fund III Entities. The Reporting Person disclaims the existence of a "group" and disclaims beneficial ownership of the securities held by the AH LSV Fund III Entities and this report shall not be deemed an admission that the Reporting Person is the beneficial owner of such securities, except to the extent of his pecuniary interest therein, if any.</w:t>
      </w:r>
    </w:p>
    <w:p>
      <w:pPr>
        <w:spacing w:after="0" w:line="16" w:lineRule="exact"/>
        <w:rPr>
          <w:rFonts w:ascii="Times New Roman" w:cs="Times New Roman" w:eastAsia="Times New Roman" w:hAnsi="Times New Roman"/>
          <w:sz w:val="12"/>
          <w:szCs w:val="12"/>
          <w:color w:val="008000"/>
        </w:rPr>
      </w:pPr>
    </w:p>
    <w:p>
      <w:pPr>
        <w:ind w:left="20" w:right="140" w:hanging="4"/>
        <w:spacing w:after="0" w:line="245"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The Reporting Person and Marc Andreessen are the managing members of AH EP V and may be deemed to have shared voting and dispositive power over the shares held by the AH Fund V Entities. The Reporting Person disclaims the existence of a "group" and disclaims beneficial ownership of the securities held by the AH Fund V Entities and this report shall not be deemed an admission that the Reporting Person is the beneficial owner of such securities, except to the extent of his pecuniary interest therein, if any.</w:t>
      </w:r>
    </w:p>
    <w:p>
      <w:pPr>
        <w:spacing w:after="0" w:line="23" w:lineRule="exact"/>
        <w:rPr>
          <w:rFonts w:ascii="Times New Roman" w:cs="Times New Roman" w:eastAsia="Times New Roman" w:hAnsi="Times New Roman"/>
          <w:sz w:val="12"/>
          <w:szCs w:val="12"/>
          <w:color w:val="008000"/>
        </w:rPr>
      </w:pPr>
    </w:p>
    <w:p>
      <w:pPr>
        <w:ind w:left="20" w:right="300" w:hanging="4"/>
        <w:spacing w:after="0" w:line="248"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CLF Partners, LP ("CLF"). AH EP V, the general partner of CLF, may be deemed to have sole voting and dispositive power over the shares held by CLF. The Reporting Person and Marc Andreessen are the managing members of AH EP V and may be deemed to have shared voting and dispositive power over the shares held by CLF. The Reporting Person disclaims the existence of a "group" and disclaims beneficial ownership of the securities held by CLF and this report shall not be deemed an admission that the Reporting Person is the beneficial owner of such securities, except to the extent of his pecuniary interest therein, if any.</w:t>
      </w:r>
    </w:p>
    <w:p>
      <w:pPr>
        <w:spacing w:after="0" w:line="21" w:lineRule="exact"/>
        <w:rPr>
          <w:rFonts w:ascii="Times New Roman" w:cs="Times New Roman" w:eastAsia="Times New Roman" w:hAnsi="Times New Roman"/>
          <w:sz w:val="12"/>
          <w:szCs w:val="12"/>
          <w:color w:val="008000"/>
        </w:rPr>
      </w:pPr>
    </w:p>
    <w:p>
      <w:pPr>
        <w:ind w:left="20" w:right="180" w:hanging="4"/>
        <w:spacing w:after="0" w:line="248"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The Reporting Person and Marc Andreessen are the managing members of AH EP V Parallel and may be deemed to have shared voting and dispositive power over the shares held by the AH Parallel Fund V Entities.</w:t>
      </w:r>
    </w:p>
    <w:p>
      <w:pPr>
        <w:spacing w:after="0" w:line="21" w:lineRule="exact"/>
        <w:rPr>
          <w:rFonts w:ascii="Times New Roman" w:cs="Times New Roman" w:eastAsia="Times New Roman" w:hAnsi="Times New Roman"/>
          <w:sz w:val="12"/>
          <w:szCs w:val="12"/>
          <w:color w:val="008000"/>
        </w:rPr>
      </w:pPr>
    </w:p>
    <w:p>
      <w:pPr>
        <w:ind w:left="20" w:right="200" w:hanging="4"/>
        <w:spacing w:after="0" w:line="274"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8) The Reporting Person disclaims the existence of a "group" and disclaims beneficial ownership of the securities held by the AH Parallel Fund V Entities and this report shall not be deemed an admission that the Reporting Person is the beneficial owner of such securities, except to the extent of his pecuniary interest therein, if any.</w:t>
      </w:r>
    </w:p>
    <w:p>
      <w:pPr>
        <w:spacing w:after="0" w:line="2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Phil Hathaway, Attorney-in-</w:t>
            </w:r>
          </w:p>
        </w:tc>
        <w:tc>
          <w:tcPr>
            <w:tcW w:w="18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11/04/2025</w:t>
            </w:r>
          </w:p>
        </w:tc>
        <w:tc>
          <w:tcPr>
            <w:tcW w:w="0" w:type="dxa"/>
            <w:vAlign w:val="bottom"/>
          </w:tcPr>
          <w:p>
            <w:pPr>
              <w:spacing w:after="0"/>
              <w:rPr>
                <w:sz w:val="1"/>
                <w:szCs w:val="1"/>
                <w:color w:val="auto"/>
              </w:rPr>
            </w:pPr>
          </w:p>
        </w:tc>
      </w:tr>
      <w:tr>
        <w:trPr>
          <w:trHeight w:val="84"/>
        </w:trPr>
        <w:tc>
          <w:tcPr>
            <w:tcW w:w="182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9"/>
              </w:rPr>
              <w:t>Fact for Benjamin Horowitz</w:t>
            </w:r>
          </w:p>
        </w:tc>
        <w:tc>
          <w:tcPr>
            <w:tcW w:w="38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820" w:type="dxa"/>
            <w:vAlign w:val="bottom"/>
            <w:tcBorders>
              <w:bottom w:val="single" w:sz="8" w:color="auto"/>
            </w:tcBorders>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900" w:hanging="4"/>
        <w:spacing w:after="0" w:line="321" w:lineRule="auto"/>
        <w:tabs>
          <w:tab w:leader="none" w:pos="15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66586"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2025-11-04T18:43:50Z</dcterms:created>
  <dcterms:modified xsi:type="dcterms:W3CDTF">2025-11-04T18:43:50Z</dcterms:modified>
</cp:coreProperties>
</file>