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HOROWITZ BENJAMIN 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gridSpan w:val="2"/>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1,012</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18.54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8,346,792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LSV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6,757,090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LSV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LSV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2,081,772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CLF</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17,001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AH</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Parallel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Represents Class A Common Stock underlying restricted stock units that are fully vested on the grant date issued to the Reporting Person in lieu of a cash retainer for board service in the amount of</w:t>
            </w:r>
          </w:p>
        </w:tc>
        <w:tc>
          <w:tcPr>
            <w:tcW w:w="0" w:type="dxa"/>
            <w:vAlign w:val="bottom"/>
          </w:tcPr>
          <w:p>
            <w:pPr>
              <w:spacing w:after="0"/>
              <w:rPr>
                <w:sz w:val="1"/>
                <w:szCs w:val="1"/>
                <w:color w:val="auto"/>
              </w:rPr>
            </w:pPr>
          </w:p>
        </w:tc>
      </w:tr>
      <w:tr>
        <w:trPr>
          <w:trHeight w:val="79"/>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$18,750.</w:t>
            </w:r>
          </w:p>
        </w:tc>
        <w:tc>
          <w:tcPr>
            <w:tcW w:w="7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Acquired</w:t>
            </w:r>
          </w:p>
        </w:tc>
        <w:tc>
          <w:tcPr>
            <w:tcW w:w="1500" w:type="dxa"/>
            <w:vAlign w:val="bottom"/>
          </w:tcPr>
          <w:p>
            <w:pPr>
              <w:spacing w:after="0"/>
              <w:rPr>
                <w:sz w:val="6"/>
                <w:szCs w:val="6"/>
                <w:color w:val="auto"/>
              </w:rPr>
            </w:pPr>
          </w:p>
        </w:tc>
        <w:tc>
          <w:tcPr>
            <w:tcW w:w="1020" w:type="dxa"/>
            <w:vAlign w:val="bottom"/>
          </w:tcPr>
          <w:p>
            <w:pPr>
              <w:ind w:left="100"/>
              <w:spacing w:after="0" w:line="80" w:lineRule="exact"/>
              <w:rPr>
                <w:sz w:val="20"/>
                <w:szCs w:val="20"/>
                <w:color w:val="auto"/>
              </w:rPr>
            </w:pPr>
            <w:r>
              <w:rPr>
                <w:rFonts w:ascii="Arial" w:cs="Arial" w:eastAsia="Arial" w:hAnsi="Arial"/>
                <w:sz w:val="8"/>
                <w:szCs w:val="8"/>
                <w:b w:val="1"/>
                <w:bCs w:val="1"/>
                <w:color w:val="auto"/>
              </w:rPr>
              <w:t>Derivative</w:t>
            </w:r>
          </w:p>
        </w:tc>
        <w:tc>
          <w:tcPr>
            <w:tcW w:w="720" w:type="dxa"/>
            <w:vAlign w:val="bottom"/>
          </w:tcPr>
          <w:p>
            <w:pPr>
              <w:spacing w:after="0"/>
              <w:rPr>
                <w:sz w:val="6"/>
                <w:szCs w:val="6"/>
                <w:color w:val="auto"/>
              </w:rPr>
            </w:pPr>
          </w:p>
        </w:tc>
        <w:tc>
          <w:tcPr>
            <w:tcW w:w="92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Owned</w:t>
            </w:r>
          </w:p>
        </w:tc>
        <w:tc>
          <w:tcPr>
            <w:tcW w:w="800" w:type="dxa"/>
            <w:vAlign w:val="bottom"/>
          </w:tcPr>
          <w:p>
            <w:pPr>
              <w:ind w:left="120"/>
              <w:spacing w:after="0" w:line="80" w:lineRule="exact"/>
              <w:rPr>
                <w:sz w:val="20"/>
                <w:szCs w:val="20"/>
                <w:color w:val="auto"/>
              </w:rPr>
            </w:pPr>
            <w:r>
              <w:rPr>
                <w:rFonts w:ascii="Arial" w:cs="Arial" w:eastAsia="Arial" w:hAnsi="Arial"/>
                <w:sz w:val="8"/>
                <w:szCs w:val="8"/>
                <w:b w:val="1"/>
                <w:bCs w:val="1"/>
                <w:color w:val="auto"/>
              </w:rPr>
              <w:t>or Indirect</w:t>
            </w:r>
          </w:p>
        </w:tc>
        <w:tc>
          <w:tcPr>
            <w:tcW w:w="78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(Instr. 4)</w:t>
            </w:r>
          </w:p>
        </w:tc>
        <w:tc>
          <w:tcPr>
            <w:tcW w:w="0" w:type="dxa"/>
            <w:vAlign w:val="bottom"/>
          </w:tcPr>
          <w:p>
            <w:pPr>
              <w:spacing w:after="0"/>
              <w:rPr>
                <w:sz w:val="1"/>
                <w:szCs w:val="1"/>
                <w:color w:val="auto"/>
              </w:rPr>
            </w:pPr>
          </w:p>
        </w:tc>
      </w:tr>
      <w:tr>
        <w:trPr>
          <w:trHeight w:val="107"/>
        </w:trPr>
        <w:tc>
          <w:tcPr>
            <w:tcW w:w="800" w:type="dxa"/>
            <w:vAlign w:val="bottom"/>
            <w:vMerge w:val="continue"/>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9"/>
                <w:szCs w:val="9"/>
                <w:color w:val="auto"/>
              </w:rPr>
            </w:pPr>
          </w:p>
        </w:tc>
        <w:tc>
          <w:tcPr>
            <w:tcW w:w="10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2"/>
          <w:szCs w:val="12"/>
          <w:color w:val="008000"/>
        </w:rPr>
        <w:t>2. These shares are held of record by Andreessen Horowitz LSV Fund II, L.P. ("AH LSV</w:t>
      </w:r>
      <w:r>
        <w:rPr>
          <w:rFonts w:ascii="Arial" w:cs="Arial" w:eastAsia="Arial" w:hAnsi="Arial"/>
          <w:sz w:val="10"/>
          <w:szCs w:val="10"/>
          <w:b w:val="1"/>
          <w:bCs w:val="1"/>
          <w:color w:val="000000"/>
        </w:rPr>
        <w:t>Disposed</w:t>
      </w:r>
      <w:r>
        <w:rPr>
          <w:rFonts w:ascii="Times New Roman" w:cs="Times New Roman" w:eastAsia="Times New Roman" w:hAnsi="Times New Roman"/>
          <w:sz w:val="12"/>
          <w:szCs w:val="12"/>
          <w:color w:val="008000"/>
        </w:rPr>
        <w:t>FundII"), for itself and as nominee for Andreessen</w:t>
      </w:r>
      <w:r>
        <w:rPr>
          <w:rFonts w:ascii="Arial" w:cs="Arial" w:eastAsia="Arial" w:hAnsi="Arial"/>
          <w:sz w:val="10"/>
          <w:szCs w:val="10"/>
          <w:b w:val="1"/>
          <w:bCs w:val="1"/>
          <w:color w:val="000000"/>
        </w:rPr>
        <w:t>3and4)</w:t>
      </w:r>
      <w:r>
        <w:rPr>
          <w:rFonts w:ascii="Times New Roman" w:cs="Times New Roman" w:eastAsia="Times New Roman" w:hAnsi="Times New Roman"/>
          <w:sz w:val="12"/>
          <w:szCs w:val="12"/>
          <w:color w:val="008000"/>
        </w:rPr>
        <w:t xml:space="preserve"> Horowitz LSV Fund</w:t>
      </w:r>
      <w:r>
        <w:rPr>
          <w:rFonts w:ascii="Arial" w:cs="Arial" w:eastAsia="Arial" w:hAnsi="Arial"/>
          <w:sz w:val="10"/>
          <w:szCs w:val="10"/>
          <w:b w:val="1"/>
          <w:bCs w:val="1"/>
          <w:color w:val="000000"/>
        </w:rPr>
        <w:t>Reported</w:t>
      </w:r>
      <w:r>
        <w:rPr>
          <w:rFonts w:ascii="Times New Roman" w:cs="Times New Roman" w:eastAsia="Times New Roman" w:hAnsi="Times New Roman"/>
          <w:sz w:val="12"/>
          <w:szCs w:val="12"/>
          <w:color w:val="008000"/>
        </w:rPr>
        <w:t>II-B,L.P. and Andreessen Horowitz LSV</w:t>
      </w:r>
    </w:p>
    <w:p>
      <w:pPr>
        <w:spacing w:after="0" w:line="259" w:lineRule="exact"/>
        <w:rPr>
          <w:sz w:val="20"/>
          <w:szCs w:val="20"/>
          <w:color w:val="auto"/>
        </w:rPr>
      </w:pPr>
    </w:p>
    <w:p>
      <w:pPr>
        <w:ind w:left="4680" w:right="460" w:hanging="4636"/>
        <w:spacing w:after="0"/>
        <w:rPr>
          <w:sz w:val="20"/>
          <w:szCs w:val="20"/>
          <w:color w:val="auto"/>
        </w:rPr>
      </w:pPr>
      <w:r>
        <w:rPr>
          <w:rFonts w:ascii="Times New Roman" w:cs="Times New Roman" w:eastAsia="Times New Roman" w:hAnsi="Times New Roman"/>
          <w:sz w:val="11"/>
          <w:szCs w:val="11"/>
          <w:color w:val="008000"/>
        </w:rPr>
        <w:t>Fund II-Q, L.P. (collectively, the "AH LSV Fund II Entities"). AH Equity Partners LSV</w:t>
      </w:r>
      <w:r>
        <w:rPr>
          <w:rFonts w:ascii="Arial" w:cs="Arial" w:eastAsia="Arial" w:hAnsi="Arial"/>
          <w:sz w:val="9"/>
          <w:szCs w:val="9"/>
          <w:b w:val="1"/>
          <w:bCs w:val="1"/>
          <w:color w:val="000000"/>
        </w:rPr>
        <w:t>of</w:t>
      </w:r>
      <w:r>
        <w:rPr>
          <w:rFonts w:ascii="Times New Roman" w:cs="Times New Roman" w:eastAsia="Times New Roman" w:hAnsi="Times New Roman"/>
          <w:sz w:val="11"/>
          <w:szCs w:val="11"/>
          <w:color w:val="008000"/>
        </w:rPr>
        <w:t>II,</w:t>
      </w:r>
      <w:r>
        <w:rPr>
          <w:rFonts w:ascii="Arial" w:cs="Arial" w:eastAsia="Arial" w:hAnsi="Arial"/>
          <w:sz w:val="9"/>
          <w:szCs w:val="9"/>
          <w:b w:val="1"/>
          <w:bCs w:val="1"/>
          <w:color w:val="000000"/>
        </w:rPr>
        <w:t>(D)</w:t>
      </w:r>
      <w:r>
        <w:rPr>
          <w:rFonts w:ascii="Times New Roman" w:cs="Times New Roman" w:eastAsia="Times New Roman" w:hAnsi="Times New Roman"/>
          <w:sz w:val="11"/>
          <w:szCs w:val="11"/>
          <w:color w:val="008000"/>
        </w:rPr>
        <w:t>L.L.C. ("AH EP LSV II "), the general partner of AH LSV Fund II, may</w:t>
      </w:r>
      <w:r>
        <w:rPr>
          <w:rFonts w:ascii="Arial" w:cs="Arial" w:eastAsia="Arial" w:hAnsi="Arial"/>
          <w:sz w:val="9"/>
          <w:szCs w:val="9"/>
          <w:b w:val="1"/>
          <w:bCs w:val="1"/>
          <w:color w:val="000000"/>
        </w:rPr>
        <w:t>Transaction(s)</w:t>
      </w:r>
      <w:r>
        <w:rPr>
          <w:rFonts w:ascii="Times New Roman" w:cs="Times New Roman" w:eastAsia="Times New Roman" w:hAnsi="Times New Roman"/>
          <w:sz w:val="11"/>
          <w:szCs w:val="11"/>
          <w:color w:val="008000"/>
        </w:rPr>
        <w:t xml:space="preserve">bedeemedto have sole voting and </w:t>
      </w:r>
      <w:r>
        <w:rPr>
          <w:rFonts w:ascii="Arial" w:cs="Arial" w:eastAsia="Arial" w:hAnsi="Arial"/>
          <w:sz w:val="9"/>
          <w:szCs w:val="9"/>
          <w:b w:val="1"/>
          <w:bCs w:val="1"/>
          <w:color w:val="000000"/>
        </w:rPr>
        <w:t>(Instr. 3, 4 (Instr. 4)</w:t>
      </w:r>
    </w:p>
    <w:p>
      <w:pPr>
        <w:spacing w:after="0" w:line="49" w:lineRule="exact"/>
        <w:rPr>
          <w:sz w:val="20"/>
          <w:szCs w:val="20"/>
          <w:color w:val="auto"/>
        </w:rPr>
      </w:pPr>
    </w:p>
    <w:p>
      <w:pPr>
        <w:ind w:left="4680" w:right="480" w:hanging="4636"/>
        <w:spacing w:after="0"/>
        <w:rPr>
          <w:sz w:val="20"/>
          <w:szCs w:val="20"/>
          <w:color w:val="auto"/>
        </w:rPr>
      </w:pPr>
      <w:r>
        <w:rPr>
          <w:rFonts w:ascii="Times New Roman" w:cs="Times New Roman" w:eastAsia="Times New Roman" w:hAnsi="Times New Roman"/>
          <w:sz w:val="12"/>
          <w:szCs w:val="12"/>
          <w:color w:val="008000"/>
        </w:rPr>
        <w:t xml:space="preserve">dispositive power over the shares held by the AH LSV Fund II Entities. The Reporting Person and Marc Andreessen are the managing members of AH EP LSV II and may be deemed to have shared </w:t>
      </w:r>
      <w:r>
        <w:rPr>
          <w:rFonts w:ascii="Arial" w:cs="Arial" w:eastAsia="Arial" w:hAnsi="Arial"/>
          <w:sz w:val="10"/>
          <w:szCs w:val="10"/>
          <w:b w:val="1"/>
          <w:bCs w:val="1"/>
          <w:color w:val="000000"/>
        </w:rPr>
        <w:t>and 5)</w:t>
      </w:r>
    </w:p>
    <w:p>
      <w:pPr>
        <w:spacing w:after="0" w:line="9" w:lineRule="exact"/>
        <w:rPr>
          <w:sz w:val="20"/>
          <w:szCs w:val="20"/>
          <w:color w:val="auto"/>
        </w:rPr>
      </w:pPr>
    </w:p>
    <w:p>
      <w:pPr>
        <w:jc w:val="both"/>
        <w:ind w:left="40" w:right="240"/>
        <w:spacing w:after="0" w:line="243" w:lineRule="auto"/>
        <w:rPr>
          <w:sz w:val="20"/>
          <w:szCs w:val="20"/>
          <w:color w:val="auto"/>
        </w:rPr>
      </w:pPr>
      <w:r>
        <w:rPr>
          <w:rFonts w:ascii="Times New Roman" w:cs="Times New Roman" w:eastAsia="Times New Roman" w:hAnsi="Times New Roman"/>
          <w:sz w:val="13"/>
          <w:szCs w:val="13"/>
          <w:color w:val="008000"/>
        </w:rPr>
        <w:t>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3. These shares are held of record by Andreessen Horowitz LSV Fund I, L.P. ("AH LSV Fund I"), for itself and as nominee for Andreessen Horowitz LSV Fund I-B, L.P. and Andreessen Horowitz LSV</w:t>
      </w:r>
    </w:p>
    <w:p>
      <w:pPr>
        <w:ind w:left="40"/>
        <w:spacing w:after="0" w:line="192" w:lineRule="auto"/>
        <w:rPr>
          <w:sz w:val="20"/>
          <w:szCs w:val="20"/>
          <w:color w:val="auto"/>
        </w:rPr>
      </w:pPr>
      <w:r>
        <w:rPr>
          <w:rFonts w:ascii="Times New Roman" w:cs="Times New Roman" w:eastAsia="Times New Roman" w:hAnsi="Times New Roman"/>
          <w:sz w:val="11"/>
          <w:szCs w:val="11"/>
          <w:color w:val="008000"/>
        </w:rPr>
        <w:t xml:space="preserve">Fund I-Q, L.P. (collectively, the "AH LSV Fund I Entities"). AH Equity Partners LSV I, L.L.C. ("AH EP LSV I"), the general partner of </w:t>
      </w:r>
      <w:r>
        <w:rPr>
          <w:rFonts w:ascii="Arial" w:cs="Arial" w:eastAsia="Arial" w:hAnsi="Arial"/>
          <w:sz w:val="9"/>
          <w:szCs w:val="9"/>
          <w:b w:val="1"/>
          <w:bCs w:val="1"/>
          <w:color w:val="000000"/>
        </w:rPr>
        <w:t>Amount</w:t>
      </w:r>
      <w:r>
        <w:rPr>
          <w:rFonts w:ascii="Times New Roman" w:cs="Times New Roman" w:eastAsia="Times New Roman" w:hAnsi="Times New Roman"/>
          <w:sz w:val="11"/>
          <w:szCs w:val="11"/>
          <w:color w:val="008000"/>
        </w:rPr>
        <w:t>AHLSV Fund I, may be deemed to have sole voting and</w:t>
      </w:r>
    </w:p>
    <w:p>
      <w:pPr>
        <w:ind w:left="7340"/>
        <w:spacing w:after="0" w:line="196" w:lineRule="auto"/>
        <w:rPr>
          <w:sz w:val="20"/>
          <w:szCs w:val="20"/>
          <w:color w:val="auto"/>
        </w:rPr>
      </w:pPr>
      <w:r>
        <w:rPr>
          <w:rFonts w:ascii="Arial" w:cs="Arial" w:eastAsia="Arial" w:hAnsi="Arial"/>
          <w:sz w:val="6"/>
          <w:szCs w:val="6"/>
          <w:b w:val="1"/>
          <w:bCs w:val="1"/>
          <w:color w:val="auto"/>
        </w:rPr>
        <w:t>or</w:t>
      </w:r>
    </w:p>
    <w:p>
      <w:pPr>
        <w:ind w:left="40"/>
        <w:spacing w:after="0" w:line="200" w:lineRule="auto"/>
        <w:rPr>
          <w:sz w:val="20"/>
          <w:szCs w:val="20"/>
          <w:color w:val="auto"/>
        </w:rPr>
      </w:pPr>
      <w:r>
        <w:rPr>
          <w:rFonts w:ascii="Times New Roman" w:cs="Times New Roman" w:eastAsia="Times New Roman" w:hAnsi="Times New Roman"/>
          <w:sz w:val="8"/>
          <w:szCs w:val="8"/>
          <w:color w:val="008000"/>
        </w:rPr>
        <w:t>dispositive power over the shares held by the AH LSV Fund I Entities. The Reporting Person and Marc Andreessen are the managing members of AH EP LSV I and may be deemed to have shared voting</w:t>
      </w:r>
    </w:p>
    <w:p>
      <w:pPr>
        <w:ind w:left="7340"/>
        <w:spacing w:after="0" w:line="182" w:lineRule="auto"/>
        <w:rPr>
          <w:sz w:val="20"/>
          <w:szCs w:val="20"/>
          <w:color w:val="auto"/>
        </w:rPr>
      </w:pPr>
      <w:r>
        <w:rPr>
          <w:rFonts w:ascii="Arial" w:cs="Arial" w:eastAsia="Arial" w:hAnsi="Arial"/>
          <w:sz w:val="8"/>
          <w:szCs w:val="8"/>
          <w:b w:val="1"/>
          <w:bCs w:val="1"/>
          <w:color w:val="auto"/>
        </w:rPr>
        <w:t>Number</w:t>
      </w:r>
    </w:p>
    <w:p>
      <w:pPr>
        <w:ind w:left="40"/>
        <w:spacing w:after="0" w:line="190" w:lineRule="auto"/>
        <w:rPr>
          <w:sz w:val="20"/>
          <w:szCs w:val="20"/>
          <w:color w:val="auto"/>
        </w:rPr>
      </w:pPr>
      <w:r>
        <w:rPr>
          <w:rFonts w:ascii="Times New Roman" w:cs="Times New Roman" w:eastAsia="Times New Roman" w:hAnsi="Times New Roman"/>
          <w:sz w:val="7"/>
          <w:szCs w:val="7"/>
          <w:color w:val="008000"/>
        </w:rPr>
        <w:t>and dispositive power over the shares held by the AH LSV Fund I Entities. The Reporting Person disclaims the existence of a "group" and disclaims beneficial ownership of the securities held by the AH</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008000"/>
        </w:rPr>
        <w:t>LSV Fund I Entities and this report shall not be deemed an admission that</w:t>
      </w:r>
      <w:r>
        <w:rPr>
          <w:rFonts w:ascii="Arial" w:cs="Arial" w:eastAsia="Arial" w:hAnsi="Arial"/>
          <w:sz w:val="9"/>
          <w:szCs w:val="9"/>
          <w:b w:val="1"/>
          <w:bCs w:val="1"/>
          <w:color w:val="000000"/>
        </w:rPr>
        <w:t>Code</w:t>
      </w:r>
      <w:r>
        <w:rPr>
          <w:rFonts w:ascii="Times New Roman" w:cs="Times New Roman" w:eastAsia="Times New Roman" w:hAnsi="Times New Roman"/>
          <w:sz w:val="11"/>
          <w:szCs w:val="11"/>
          <w:color w:val="008000"/>
        </w:rPr>
        <w:t>the Reporting</w:t>
      </w:r>
      <w:r>
        <w:rPr>
          <w:rFonts w:ascii="Arial" w:cs="Arial" w:eastAsia="Arial" w:hAnsi="Arial"/>
          <w:sz w:val="9"/>
          <w:szCs w:val="9"/>
          <w:b w:val="1"/>
          <w:bCs w:val="1"/>
          <w:color w:val="000000"/>
        </w:rPr>
        <w:t>V(A)</w:t>
      </w:r>
      <w:r>
        <w:rPr>
          <w:rFonts w:ascii="Times New Roman" w:cs="Times New Roman" w:eastAsia="Times New Roman" w:hAnsi="Times New Roman"/>
          <w:sz w:val="11"/>
          <w:szCs w:val="11"/>
          <w:color w:val="008000"/>
        </w:rPr>
        <w:t>Person</w:t>
      </w:r>
      <w:r>
        <w:rPr>
          <w:rFonts w:ascii="Arial" w:cs="Arial" w:eastAsia="Arial" w:hAnsi="Arial"/>
          <w:sz w:val="9"/>
          <w:szCs w:val="9"/>
          <w:b w:val="1"/>
          <w:bCs w:val="1"/>
          <w:color w:val="000000"/>
        </w:rPr>
        <w:t>(D)</w:t>
      </w:r>
      <w:r>
        <w:rPr>
          <w:rFonts w:ascii="Times New Roman" w:cs="Times New Roman" w:eastAsia="Times New Roman" w:hAnsi="Times New Roman"/>
          <w:sz w:val="11"/>
          <w:szCs w:val="11"/>
          <w:color w:val="008000"/>
        </w:rPr>
        <w:t>is the</w:t>
      </w:r>
      <w:r>
        <w:rPr>
          <w:rFonts w:ascii="Arial" w:cs="Arial" w:eastAsia="Arial" w:hAnsi="Arial"/>
          <w:sz w:val="9"/>
          <w:szCs w:val="9"/>
          <w:b w:val="1"/>
          <w:bCs w:val="1"/>
          <w:color w:val="000000"/>
        </w:rPr>
        <w:t>Exercisable</w:t>
      </w:r>
      <w:r>
        <w:rPr>
          <w:rFonts w:ascii="Times New Roman" w:cs="Times New Roman" w:eastAsia="Times New Roman" w:hAnsi="Times New Roman"/>
          <w:sz w:val="11"/>
          <w:szCs w:val="11"/>
          <w:color w:val="008000"/>
        </w:rPr>
        <w:t>beneficialowner</w:t>
      </w:r>
      <w:r>
        <w:rPr>
          <w:rFonts w:ascii="Arial" w:cs="Arial" w:eastAsia="Arial" w:hAnsi="Arial"/>
          <w:sz w:val="9"/>
          <w:szCs w:val="9"/>
          <w:b w:val="1"/>
          <w:bCs w:val="1"/>
          <w:color w:val="000000"/>
        </w:rPr>
        <w:t>Date</w:t>
      </w:r>
      <w:r>
        <w:rPr>
          <w:rFonts w:ascii="Times New Roman" w:cs="Times New Roman" w:eastAsia="Times New Roman" w:hAnsi="Times New Roman"/>
          <w:sz w:val="11"/>
          <w:szCs w:val="11"/>
          <w:color w:val="008000"/>
        </w:rPr>
        <w:t>of such securities,</w:t>
      </w:r>
      <w:r>
        <w:rPr>
          <w:rFonts w:ascii="Arial" w:cs="Arial" w:eastAsia="Arial" w:hAnsi="Arial"/>
          <w:sz w:val="9"/>
          <w:szCs w:val="9"/>
          <w:b w:val="1"/>
          <w:bCs w:val="1"/>
          <w:color w:val="000000"/>
        </w:rPr>
        <w:t>TitleShares</w:t>
      </w:r>
      <w:r>
        <w:rPr>
          <w:rFonts w:ascii="Times New Roman" w:cs="Times New Roman" w:eastAsia="Times New Roman" w:hAnsi="Times New Roman"/>
          <w:sz w:val="11"/>
          <w:szCs w:val="11"/>
          <w:color w:val="008000"/>
        </w:rPr>
        <w:t>except to the extent of his pecuniary interest therein, if any.</w:t>
      </w:r>
    </w:p>
    <w:p>
      <w:pPr>
        <w:spacing w:after="0" w:line="23" w:lineRule="exact"/>
        <w:rPr>
          <w:sz w:val="20"/>
          <w:szCs w:val="20"/>
          <w:color w:val="auto"/>
        </w:rPr>
      </w:pPr>
    </w:p>
    <w:p>
      <w:pPr>
        <w:ind w:left="40" w:right="34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6"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7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Benjamin</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658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2026-05-22T16:43:09Z</dcterms:created>
  <dcterms:modified xsi:type="dcterms:W3CDTF">2026-05-22T16:43:09Z</dcterms:modified>
</cp:coreProperties>
</file>